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D4" w:rsidRDefault="00A217D4" w:rsidP="001E1B31">
      <w:pPr>
        <w:pStyle w:val="Titre"/>
        <w:jc w:val="center"/>
        <w:rPr>
          <w:b/>
        </w:rPr>
      </w:pPr>
      <w:r w:rsidRPr="00637A37">
        <w:rPr>
          <w:b/>
        </w:rPr>
        <w:t>PLAN D’ACTION CLSS 2022</w:t>
      </w:r>
      <w:r w:rsidR="00B415EA">
        <w:rPr>
          <w:b/>
        </w:rPr>
        <w:t>-2025</w:t>
      </w:r>
    </w:p>
    <w:p w:rsidR="001E1B31" w:rsidRDefault="001E1B31" w:rsidP="001E1B31"/>
    <w:p w:rsidR="001E1B31" w:rsidRPr="001E1B31" w:rsidRDefault="001E1B31" w:rsidP="001E1B31">
      <w:pPr>
        <w:jc w:val="center"/>
        <w:rPr>
          <w:b/>
          <w:sz w:val="32"/>
        </w:rPr>
      </w:pPr>
      <w:r w:rsidRPr="001E1B31">
        <w:rPr>
          <w:b/>
          <w:sz w:val="32"/>
        </w:rPr>
        <w:t>QUARTIE</w:t>
      </w:r>
      <w:r>
        <w:rPr>
          <w:b/>
          <w:sz w:val="32"/>
        </w:rPr>
        <w:t>R</w:t>
      </w:r>
      <w:r w:rsidRPr="001E1B31">
        <w:rPr>
          <w:b/>
          <w:sz w:val="32"/>
        </w:rPr>
        <w:t>S MAROLLES ET ANNEESSENS AVEC EXTENSION SUR STALINGRAD</w:t>
      </w:r>
    </w:p>
    <w:p w:rsidR="001E1B31" w:rsidRPr="001E1B31" w:rsidRDefault="001E1B31" w:rsidP="001E1B31"/>
    <w:p w:rsidR="00A217D4" w:rsidRDefault="00A217D4" w:rsidP="00A217D4">
      <w:pPr>
        <w:rPr>
          <w:lang w:val="fr-FR"/>
        </w:rPr>
      </w:pPr>
    </w:p>
    <w:p w:rsidR="001E1B31" w:rsidRDefault="001E1B31" w:rsidP="00A217D4">
      <w:pPr>
        <w:rPr>
          <w:lang w:val="fr-FR"/>
        </w:rPr>
      </w:pPr>
    </w:p>
    <w:p w:rsidR="001E1B31" w:rsidRDefault="001E1B31" w:rsidP="00A217D4">
      <w:pPr>
        <w:rPr>
          <w:lang w:val="fr-FR"/>
        </w:rPr>
      </w:pPr>
    </w:p>
    <w:p w:rsidR="001E1B31" w:rsidRDefault="001E1B31" w:rsidP="00A217D4">
      <w:pPr>
        <w:rPr>
          <w:lang w:val="fr-FR"/>
        </w:rPr>
      </w:pPr>
    </w:p>
    <w:p w:rsidR="00862CC7" w:rsidRPr="00862CC7" w:rsidRDefault="00862CC7" w:rsidP="001E1B31">
      <w:pPr>
        <w:jc w:val="center"/>
        <w:rPr>
          <w:lang w:val="fr-FR"/>
        </w:rPr>
      </w:pPr>
      <w:r>
        <w:rPr>
          <w:lang w:val="fr-FR"/>
        </w:rPr>
        <w:t>Février 2022</w:t>
      </w:r>
    </w:p>
    <w:p w:rsidR="00A217D4" w:rsidRDefault="00361B9D" w:rsidP="001E1B31">
      <w:pPr>
        <w:jc w:val="center"/>
        <w:rPr>
          <w:lang w:val="fr-FR"/>
        </w:rPr>
      </w:pPr>
      <w:r w:rsidRPr="00805BC2">
        <w:rPr>
          <w:b/>
          <w:i/>
          <w:lang w:val="fr-FR"/>
        </w:rPr>
        <w:t>CPAS de Bruxelles</w:t>
      </w:r>
    </w:p>
    <w:p w:rsidR="00862CC7" w:rsidRDefault="00862CC7" w:rsidP="00A217D4">
      <w:pPr>
        <w:rPr>
          <w:lang w:val="fr-FR"/>
        </w:rPr>
      </w:pPr>
    </w:p>
    <w:p w:rsidR="00EB31F1" w:rsidRDefault="00EB31F1">
      <w:pPr>
        <w:jc w:val="left"/>
        <w:rPr>
          <w:lang w:val="fr-FR"/>
        </w:rPr>
      </w:pPr>
      <w:r>
        <w:rPr>
          <w:lang w:val="fr-FR"/>
        </w:rPr>
        <w:br w:type="page"/>
      </w:r>
    </w:p>
    <w:p w:rsidR="00A217D4" w:rsidRDefault="00A217D4" w:rsidP="00A217D4">
      <w:pPr>
        <w:pBdr>
          <w:top w:val="single" w:sz="4" w:space="1" w:color="auto"/>
          <w:left w:val="single" w:sz="4" w:space="4" w:color="auto"/>
          <w:bottom w:val="single" w:sz="4" w:space="1" w:color="auto"/>
          <w:right w:val="single" w:sz="4" w:space="4" w:color="auto"/>
        </w:pBdr>
        <w:jc w:val="center"/>
        <w:rPr>
          <w:b/>
          <w:lang w:val="fr-FR"/>
        </w:rPr>
      </w:pPr>
      <w:r w:rsidRPr="001F63D0">
        <w:rPr>
          <w:b/>
          <w:lang w:val="fr-FR"/>
        </w:rPr>
        <w:lastRenderedPageBreak/>
        <w:t>NOTICE</w:t>
      </w:r>
    </w:p>
    <w:p w:rsidR="00B94DAE" w:rsidRPr="001F63D0" w:rsidRDefault="00B94DAE" w:rsidP="00B94DAE">
      <w:pPr>
        <w:rPr>
          <w:lang w:val="fr-FR"/>
        </w:rPr>
      </w:pPr>
      <w:r>
        <w:rPr>
          <w:lang w:val="fr-FR"/>
        </w:rPr>
        <w:t xml:space="preserve">Les objectifs sont numérotés par liste et par niveau : l’objectif </w:t>
      </w:r>
      <w:r w:rsidR="009434EE">
        <w:rPr>
          <w:lang w:val="fr-FR"/>
        </w:rPr>
        <w:t>2.1.3</w:t>
      </w:r>
      <w:r>
        <w:rPr>
          <w:lang w:val="fr-FR"/>
        </w:rPr>
        <w:t xml:space="preserve"> est donc l’</w:t>
      </w:r>
      <w:r w:rsidR="009434EE">
        <w:rPr>
          <w:lang w:val="fr-FR"/>
        </w:rPr>
        <w:t>objectif opérationnel numéro 3</w:t>
      </w:r>
      <w:r>
        <w:rPr>
          <w:lang w:val="fr-FR"/>
        </w:rPr>
        <w:t xml:space="preserve"> de l’</w:t>
      </w:r>
      <w:r w:rsidR="009434EE">
        <w:rPr>
          <w:lang w:val="fr-FR"/>
        </w:rPr>
        <w:t>objectif intermédiaire numéro 1</w:t>
      </w:r>
      <w:r>
        <w:rPr>
          <w:lang w:val="fr-FR"/>
        </w:rPr>
        <w:t xml:space="preserve"> de l’</w:t>
      </w:r>
      <w:r w:rsidR="009434EE">
        <w:rPr>
          <w:lang w:val="fr-FR"/>
        </w:rPr>
        <w:t>objectif général numéro 2</w:t>
      </w:r>
      <w:r>
        <w:rPr>
          <w:lang w:val="fr-FR"/>
        </w:rPr>
        <w:t>.</w:t>
      </w:r>
      <w:r w:rsidR="009434EE">
        <w:rPr>
          <w:lang w:val="fr-FR"/>
        </w:rPr>
        <w:t xml:space="preserve"> </w:t>
      </w:r>
      <w:r w:rsidR="00DE4D29">
        <w:rPr>
          <w:lang w:val="fr-FR"/>
        </w:rPr>
        <w:t>Pour faciliter la lecture, chaque niveau d’objectif utilise un code couleur.</w:t>
      </w:r>
    </w:p>
    <w:p w:rsidR="00A217D4" w:rsidRDefault="00A217D4" w:rsidP="00DE4D29">
      <w:pPr>
        <w:pBdr>
          <w:top w:val="single" w:sz="4" w:space="1" w:color="auto"/>
          <w:left w:val="single" w:sz="4" w:space="4" w:color="auto"/>
          <w:bottom w:val="single" w:sz="4" w:space="1" w:color="auto"/>
          <w:right w:val="single" w:sz="4" w:space="4" w:color="auto"/>
        </w:pBdr>
        <w:shd w:val="clear" w:color="auto" w:fill="FFE599" w:themeFill="accent4" w:themeFillTint="66"/>
        <w:rPr>
          <w:b/>
          <w:lang w:val="fr-FR"/>
        </w:rPr>
      </w:pPr>
      <w:r>
        <w:rPr>
          <w:b/>
          <w:lang w:val="fr-FR"/>
        </w:rPr>
        <w:t>Objectifs généraux (OG)</w:t>
      </w:r>
      <w:r w:rsidR="00DE4D29">
        <w:rPr>
          <w:b/>
          <w:lang w:val="fr-FR"/>
        </w:rPr>
        <w:t xml:space="preserve"> [jaune]</w:t>
      </w:r>
    </w:p>
    <w:p w:rsidR="00A217D4" w:rsidRDefault="00A217D4" w:rsidP="00A15B77">
      <w:pPr>
        <w:pBdr>
          <w:top w:val="single" w:sz="4" w:space="1" w:color="auto"/>
          <w:left w:val="single" w:sz="4" w:space="4" w:color="auto"/>
          <w:bottom w:val="single" w:sz="4" w:space="1" w:color="auto"/>
          <w:right w:val="single" w:sz="4" w:space="4" w:color="auto"/>
        </w:pBdr>
        <w:shd w:val="clear" w:color="auto" w:fill="FFE599" w:themeFill="accent4" w:themeFillTint="66"/>
        <w:rPr>
          <w:lang w:val="fr-FR"/>
        </w:rPr>
      </w:pPr>
      <w:r>
        <w:rPr>
          <w:lang w:val="fr-FR"/>
        </w:rPr>
        <w:t>Ce niveau d’objectif sont décrites en termes de finalités de changements sociaux que nous essayons d’atteindre. Elles ne sont pas directement évaluables mais indiquent la direction générale des actions entreprises, afin de pouvoir évaluer si ces actions servent bien ces finalités.</w:t>
      </w:r>
    </w:p>
    <w:p w:rsidR="00A217D4" w:rsidRPr="00277AEC" w:rsidRDefault="00A217D4" w:rsidP="00DE4D29">
      <w:pPr>
        <w:pBdr>
          <w:top w:val="single" w:sz="4" w:space="1" w:color="auto"/>
          <w:left w:val="single" w:sz="4" w:space="4" w:color="auto"/>
          <w:bottom w:val="single" w:sz="4" w:space="1" w:color="auto"/>
          <w:right w:val="single" w:sz="4" w:space="4" w:color="auto"/>
        </w:pBdr>
        <w:shd w:val="clear" w:color="auto" w:fill="F7CAAC" w:themeFill="accent2" w:themeFillTint="66"/>
        <w:rPr>
          <w:b/>
          <w:lang w:val="fr-FR"/>
        </w:rPr>
      </w:pPr>
      <w:r>
        <w:rPr>
          <w:b/>
          <w:lang w:val="fr-FR"/>
        </w:rPr>
        <w:t>Objectifs intermédiaires (OI)</w:t>
      </w:r>
      <w:r w:rsidR="00DE4D29">
        <w:rPr>
          <w:b/>
          <w:lang w:val="fr-FR"/>
        </w:rPr>
        <w:t xml:space="preserve"> [orange]</w:t>
      </w:r>
    </w:p>
    <w:p w:rsidR="00A217D4" w:rsidRPr="00EB7FC0" w:rsidRDefault="00A217D4" w:rsidP="00A15B77">
      <w:pPr>
        <w:pBdr>
          <w:top w:val="single" w:sz="4" w:space="1" w:color="auto"/>
          <w:left w:val="single" w:sz="4" w:space="4" w:color="auto"/>
          <w:bottom w:val="single" w:sz="4" w:space="1" w:color="auto"/>
          <w:right w:val="single" w:sz="4" w:space="4" w:color="auto"/>
        </w:pBdr>
        <w:shd w:val="clear" w:color="auto" w:fill="F7CAAC" w:themeFill="accent2" w:themeFillTint="66"/>
        <w:rPr>
          <w:lang w:val="fr-FR"/>
        </w:rPr>
      </w:pPr>
      <w:r>
        <w:rPr>
          <w:lang w:val="fr-FR"/>
        </w:rPr>
        <w:t>Ces objectifs cherchent à réaliser la finalité générale en agissant sur plusieurs facteurs. Chacun des objectifs intermédiaires peut être lu comme faisant suite à la formule « Au terme des actions menées pendant les cinq années, voici le résultat que nous aurons atteint ». Ces objectifs sont formulés en termes de réalisations atteintes.</w:t>
      </w:r>
    </w:p>
    <w:p w:rsidR="00A217D4" w:rsidRDefault="00A217D4" w:rsidP="00DE4D29">
      <w:pPr>
        <w:pBdr>
          <w:top w:val="single" w:sz="4" w:space="1" w:color="auto"/>
          <w:left w:val="single" w:sz="4" w:space="4" w:color="auto"/>
          <w:bottom w:val="single" w:sz="4" w:space="1" w:color="auto"/>
          <w:right w:val="single" w:sz="4" w:space="4" w:color="auto"/>
        </w:pBdr>
        <w:shd w:val="clear" w:color="auto" w:fill="C5E0B3" w:themeFill="accent6" w:themeFillTint="66"/>
        <w:rPr>
          <w:b/>
          <w:lang w:val="fr-FR"/>
        </w:rPr>
      </w:pPr>
      <w:r w:rsidRPr="00277AEC">
        <w:rPr>
          <w:b/>
          <w:lang w:val="fr-FR"/>
        </w:rPr>
        <w:t>Objectif</w:t>
      </w:r>
      <w:r>
        <w:rPr>
          <w:b/>
          <w:lang w:val="fr-FR"/>
        </w:rPr>
        <w:t>s</w:t>
      </w:r>
      <w:r w:rsidRPr="00277AEC">
        <w:rPr>
          <w:b/>
          <w:lang w:val="fr-FR"/>
        </w:rPr>
        <w:t xml:space="preserve"> opérationnel</w:t>
      </w:r>
      <w:r>
        <w:rPr>
          <w:b/>
          <w:lang w:val="fr-FR"/>
        </w:rPr>
        <w:t>s (OO)</w:t>
      </w:r>
      <w:r w:rsidR="00DE4D29">
        <w:rPr>
          <w:b/>
          <w:lang w:val="fr-FR"/>
        </w:rPr>
        <w:t xml:space="preserve"> [vert]</w:t>
      </w:r>
    </w:p>
    <w:p w:rsidR="00A217D4" w:rsidRDefault="00A217D4" w:rsidP="00A15B77">
      <w:pPr>
        <w:pBdr>
          <w:top w:val="single" w:sz="4" w:space="1" w:color="auto"/>
          <w:left w:val="single" w:sz="4" w:space="4" w:color="auto"/>
          <w:bottom w:val="single" w:sz="4" w:space="1" w:color="auto"/>
          <w:right w:val="single" w:sz="4" w:space="4" w:color="auto"/>
        </w:pBdr>
        <w:shd w:val="clear" w:color="auto" w:fill="C5E0B3" w:themeFill="accent6" w:themeFillTint="66"/>
        <w:rPr>
          <w:lang w:val="fr-FR"/>
        </w:rPr>
      </w:pPr>
      <w:r>
        <w:rPr>
          <w:lang w:val="fr-FR"/>
        </w:rPr>
        <w:t xml:space="preserve">Ces objectifs sont des </w:t>
      </w:r>
      <w:r w:rsidR="00274D7D">
        <w:rPr>
          <w:lang w:val="fr-FR"/>
        </w:rPr>
        <w:t>résultats concr</w:t>
      </w:r>
      <w:r w:rsidR="00957979">
        <w:rPr>
          <w:lang w:val="fr-FR"/>
        </w:rPr>
        <w:t>ets</w:t>
      </w:r>
      <w:r>
        <w:rPr>
          <w:lang w:val="fr-FR"/>
        </w:rPr>
        <w:t xml:space="preserve"> visant à </w:t>
      </w:r>
      <w:r w:rsidR="005C7CC4">
        <w:rPr>
          <w:lang w:val="fr-FR"/>
        </w:rPr>
        <w:t>contribuer à la réalisation d’</w:t>
      </w:r>
      <w:r w:rsidR="00274D7D">
        <w:rPr>
          <w:lang w:val="fr-FR"/>
        </w:rPr>
        <w:t xml:space="preserve">un </w:t>
      </w:r>
      <w:r>
        <w:rPr>
          <w:lang w:val="fr-FR"/>
        </w:rPr>
        <w:t xml:space="preserve">objectif intermédiaire </w:t>
      </w:r>
      <w:r w:rsidR="00274D7D">
        <w:rPr>
          <w:lang w:val="fr-FR"/>
        </w:rPr>
        <w:t>ou général</w:t>
      </w:r>
      <w:r>
        <w:rPr>
          <w:lang w:val="fr-FR"/>
        </w:rPr>
        <w:t>.</w:t>
      </w:r>
      <w:r w:rsidR="00110D3D">
        <w:rPr>
          <w:lang w:val="fr-FR"/>
        </w:rPr>
        <w:t xml:space="preserve"> Certains objectifs opérationnels peuv</w:t>
      </w:r>
      <w:r w:rsidR="003353C3">
        <w:rPr>
          <w:lang w:val="fr-FR"/>
        </w:rPr>
        <w:t>ent réaliser un objectif général</w:t>
      </w:r>
    </w:p>
    <w:p w:rsidR="00A217D4" w:rsidRPr="00277AEC" w:rsidRDefault="00A217D4" w:rsidP="00B94DAE">
      <w:pPr>
        <w:pBdr>
          <w:top w:val="single" w:sz="4" w:space="1" w:color="auto"/>
          <w:left w:val="single" w:sz="4" w:space="4" w:color="auto"/>
          <w:bottom w:val="single" w:sz="4" w:space="1" w:color="auto"/>
          <w:right w:val="single" w:sz="4" w:space="4" w:color="auto"/>
        </w:pBdr>
        <w:rPr>
          <w:b/>
          <w:lang w:val="fr-FR"/>
        </w:rPr>
      </w:pPr>
      <w:r>
        <w:rPr>
          <w:b/>
          <w:lang w:val="fr-FR"/>
        </w:rPr>
        <w:t>Actions (A)</w:t>
      </w:r>
    </w:p>
    <w:p w:rsidR="00A217D4" w:rsidRDefault="00A217D4" w:rsidP="00B94DAE">
      <w:pPr>
        <w:pBdr>
          <w:top w:val="single" w:sz="4" w:space="1" w:color="auto"/>
          <w:left w:val="single" w:sz="4" w:space="4" w:color="auto"/>
          <w:bottom w:val="single" w:sz="4" w:space="1" w:color="auto"/>
          <w:right w:val="single" w:sz="4" w:space="4" w:color="auto"/>
        </w:pBdr>
        <w:rPr>
          <w:lang w:val="fr-FR"/>
        </w:rPr>
      </w:pPr>
      <w:r>
        <w:rPr>
          <w:lang w:val="fr-FR"/>
        </w:rPr>
        <w:t>Les actions sont les mesures prises dans le but de réaliser les objectifs.</w:t>
      </w:r>
    </w:p>
    <w:p w:rsidR="00A15B77" w:rsidRDefault="00A15B77" w:rsidP="00A15B77">
      <w:pPr>
        <w:pBdr>
          <w:top w:val="single" w:sz="4" w:space="1" w:color="auto"/>
          <w:left w:val="single" w:sz="4" w:space="4" w:color="auto"/>
          <w:bottom w:val="single" w:sz="4" w:space="1" w:color="auto"/>
          <w:right w:val="single" w:sz="4" w:space="4" w:color="auto"/>
        </w:pBdr>
        <w:shd w:val="clear" w:color="auto" w:fill="BDD6EE" w:themeFill="accent1" w:themeFillTint="66"/>
        <w:rPr>
          <w:b/>
          <w:lang w:val="fr-FR"/>
        </w:rPr>
      </w:pPr>
      <w:r w:rsidRPr="00A15B77">
        <w:rPr>
          <w:b/>
          <w:lang w:val="fr-FR"/>
        </w:rPr>
        <w:t>Objectif transversal [bleu]</w:t>
      </w:r>
    </w:p>
    <w:p w:rsidR="00A15B77" w:rsidRPr="001E1B31" w:rsidRDefault="00A15B77" w:rsidP="00A15B77">
      <w:pPr>
        <w:pBdr>
          <w:top w:val="single" w:sz="4" w:space="1" w:color="auto"/>
          <w:left w:val="single" w:sz="4" w:space="4" w:color="auto"/>
          <w:bottom w:val="single" w:sz="4" w:space="1" w:color="auto"/>
          <w:right w:val="single" w:sz="4" w:space="4" w:color="auto"/>
        </w:pBdr>
        <w:shd w:val="clear" w:color="auto" w:fill="BDD6EE" w:themeFill="accent1" w:themeFillTint="66"/>
        <w:rPr>
          <w:lang w:val="fr-FR"/>
        </w:rPr>
      </w:pPr>
      <w:r>
        <w:rPr>
          <w:lang w:val="fr-FR"/>
        </w:rPr>
        <w:t xml:space="preserve">Ces objectifs sont </w:t>
      </w:r>
      <w:r w:rsidR="00110D3D">
        <w:rPr>
          <w:lang w:val="fr-FR"/>
        </w:rPr>
        <w:t xml:space="preserve">des objectifs généraux qui visent </w:t>
      </w:r>
      <w:r>
        <w:rPr>
          <w:lang w:val="fr-FR"/>
        </w:rPr>
        <w:t>à être atteint de manière transversale à tous les autres objectifs et aux projets</w:t>
      </w:r>
      <w:r w:rsidR="00110D3D">
        <w:rPr>
          <w:lang w:val="fr-FR"/>
        </w:rPr>
        <w:t xml:space="preserve">. </w:t>
      </w:r>
    </w:p>
    <w:p w:rsidR="00420221" w:rsidRDefault="00420221" w:rsidP="00A217D4">
      <w:pPr>
        <w:rPr>
          <w:b/>
          <w:lang w:val="fr-FR"/>
        </w:rPr>
      </w:pPr>
    </w:p>
    <w:p w:rsidR="003E1A91" w:rsidRPr="00D3540F" w:rsidRDefault="00D3540F" w:rsidP="00D3540F">
      <w:pPr>
        <w:jc w:val="center"/>
        <w:rPr>
          <w:b/>
          <w:lang w:val="fr-FR"/>
        </w:rPr>
      </w:pPr>
      <w:r>
        <w:rPr>
          <w:b/>
          <w:lang w:val="fr-FR"/>
        </w:rPr>
        <w:t>Glossaire</w:t>
      </w:r>
    </w:p>
    <w:p w:rsidR="00170070" w:rsidRDefault="00170070" w:rsidP="004752D7">
      <w:pPr>
        <w:pBdr>
          <w:top w:val="single" w:sz="4" w:space="1" w:color="auto"/>
          <w:left w:val="single" w:sz="4" w:space="4" w:color="auto"/>
          <w:bottom w:val="single" w:sz="4" w:space="1" w:color="auto"/>
          <w:right w:val="single" w:sz="4" w:space="4" w:color="auto"/>
        </w:pBdr>
        <w:rPr>
          <w:lang w:val="fr-FR"/>
        </w:rPr>
      </w:pPr>
      <w:r>
        <w:rPr>
          <w:b/>
          <w:lang w:val="fr-FR"/>
        </w:rPr>
        <w:t xml:space="preserve">Organisation : </w:t>
      </w:r>
      <w:r>
        <w:rPr>
          <w:lang w:val="fr-FR"/>
        </w:rPr>
        <w:t>une organisation est une personne morale disposant d’un statut juridique ayant un but déterminé.</w:t>
      </w:r>
    </w:p>
    <w:p w:rsidR="00FA3908" w:rsidRDefault="00FA3908" w:rsidP="004752D7">
      <w:pPr>
        <w:pBdr>
          <w:top w:val="single" w:sz="4" w:space="1" w:color="auto"/>
          <w:left w:val="single" w:sz="4" w:space="4" w:color="auto"/>
          <w:bottom w:val="single" w:sz="4" w:space="1" w:color="auto"/>
          <w:right w:val="single" w:sz="4" w:space="4" w:color="auto"/>
        </w:pBdr>
        <w:rPr>
          <w:lang w:val="fr-FR"/>
        </w:rPr>
      </w:pPr>
      <w:r>
        <w:rPr>
          <w:b/>
          <w:lang w:val="fr-FR"/>
        </w:rPr>
        <w:t>Parties prenantes</w:t>
      </w:r>
      <w:r>
        <w:rPr>
          <w:lang w:val="fr-FR"/>
        </w:rPr>
        <w:t> : Les parties prenantes sont des organisations ou des individus dont le fonctionnement est affecté par les actions relatives aux objectifs du plan d’action, ou qui ont la capacité d’affecter ces actions</w:t>
      </w:r>
      <w:r w:rsidR="00CD4D44">
        <w:rPr>
          <w:lang w:val="fr-FR"/>
        </w:rPr>
        <w:t xml:space="preserve"> – et ce négativement ou positivement</w:t>
      </w:r>
      <w:r>
        <w:rPr>
          <w:lang w:val="fr-FR"/>
        </w:rPr>
        <w:t>.</w:t>
      </w:r>
    </w:p>
    <w:p w:rsidR="00D3540F" w:rsidRPr="006841E1" w:rsidRDefault="00D3540F" w:rsidP="004752D7">
      <w:pPr>
        <w:pBdr>
          <w:top w:val="single" w:sz="4" w:space="1" w:color="auto"/>
          <w:left w:val="single" w:sz="4" w:space="4" w:color="auto"/>
          <w:bottom w:val="single" w:sz="4" w:space="1" w:color="auto"/>
          <w:right w:val="single" w:sz="4" w:space="4" w:color="auto"/>
        </w:pBdr>
        <w:rPr>
          <w:lang w:val="fr-FR"/>
        </w:rPr>
      </w:pPr>
      <w:r w:rsidRPr="006841E1">
        <w:rPr>
          <w:b/>
          <w:lang w:val="fr-FR"/>
        </w:rPr>
        <w:t>Partena</w:t>
      </w:r>
      <w:r w:rsidR="006841E1" w:rsidRPr="006841E1">
        <w:rPr>
          <w:b/>
          <w:lang w:val="fr-FR"/>
        </w:rPr>
        <w:t>ires :</w:t>
      </w:r>
      <w:r w:rsidR="006841E1">
        <w:rPr>
          <w:b/>
          <w:lang w:val="fr-FR"/>
        </w:rPr>
        <w:t xml:space="preserve"> </w:t>
      </w:r>
      <w:r w:rsidR="006841E1">
        <w:rPr>
          <w:lang w:val="fr-FR"/>
        </w:rPr>
        <w:t xml:space="preserve"> toute partie prenante</w:t>
      </w:r>
      <w:r w:rsidR="0077218E">
        <w:rPr>
          <w:lang w:val="fr-FR"/>
        </w:rPr>
        <w:t xml:space="preserve"> </w:t>
      </w:r>
      <w:r w:rsidR="00C0592B">
        <w:rPr>
          <w:lang w:val="fr-FR"/>
        </w:rPr>
        <w:t xml:space="preserve">intentionnellement </w:t>
      </w:r>
      <w:r w:rsidR="0077218E">
        <w:rPr>
          <w:lang w:val="fr-FR"/>
        </w:rPr>
        <w:t xml:space="preserve">impliquée d’une manière ou d’une autre </w:t>
      </w:r>
      <w:r w:rsidR="00C0592B">
        <w:rPr>
          <w:lang w:val="fr-FR"/>
        </w:rPr>
        <w:t xml:space="preserve">par le </w:t>
      </w:r>
      <w:r w:rsidR="006841E1">
        <w:rPr>
          <w:lang w:val="fr-FR"/>
        </w:rPr>
        <w:t>projet</w:t>
      </w:r>
      <w:r w:rsidR="002E4709">
        <w:rPr>
          <w:lang w:val="fr-FR"/>
        </w:rPr>
        <w:t>, sans pour autant être porteuse</w:t>
      </w:r>
      <w:r w:rsidR="006841E1">
        <w:rPr>
          <w:lang w:val="fr-FR"/>
        </w:rPr>
        <w:t xml:space="preserve">. </w:t>
      </w:r>
    </w:p>
    <w:p w:rsidR="0043584C" w:rsidRDefault="00170070" w:rsidP="004752D7">
      <w:pPr>
        <w:pBdr>
          <w:top w:val="single" w:sz="4" w:space="1" w:color="auto"/>
          <w:left w:val="single" w:sz="4" w:space="4" w:color="auto"/>
          <w:bottom w:val="single" w:sz="4" w:space="1" w:color="auto"/>
          <w:right w:val="single" w:sz="4" w:space="4" w:color="auto"/>
        </w:pBdr>
        <w:rPr>
          <w:lang w:val="fr-FR"/>
        </w:rPr>
      </w:pPr>
      <w:r>
        <w:rPr>
          <w:b/>
          <w:lang w:val="fr-FR"/>
        </w:rPr>
        <w:t>Organisation</w:t>
      </w:r>
      <w:r w:rsidR="0072769C">
        <w:rPr>
          <w:b/>
          <w:lang w:val="fr-FR"/>
        </w:rPr>
        <w:t xml:space="preserve"> porteuse</w:t>
      </w:r>
      <w:r>
        <w:rPr>
          <w:b/>
          <w:lang w:val="fr-FR"/>
        </w:rPr>
        <w:t xml:space="preserve"> : </w:t>
      </w:r>
      <w:r>
        <w:rPr>
          <w:lang w:val="fr-FR"/>
        </w:rPr>
        <w:t>une organisation porteuse est une organisation qui répond à l’appel à projet CLSS dans le but de porter un projet qui répond au plan d’action. Un même projet peut être porté par plusieurs organisations porteuses</w:t>
      </w:r>
      <w:r w:rsidR="00FA3908">
        <w:rPr>
          <w:lang w:val="fr-FR"/>
        </w:rPr>
        <w:t>. Une seule organisation porteuse peut proposer un projet qui implique plusieurs partenaires qui sont des parties prenantes</w:t>
      </w:r>
      <w:r w:rsidR="00FD5850">
        <w:rPr>
          <w:lang w:val="fr-FR"/>
        </w:rPr>
        <w:t>.</w:t>
      </w:r>
    </w:p>
    <w:p w:rsidR="00FD5850" w:rsidRDefault="00FD5850" w:rsidP="00A217D4">
      <w:pPr>
        <w:rPr>
          <w:lang w:val="fr-FR"/>
        </w:rPr>
      </w:pPr>
    </w:p>
    <w:p w:rsidR="00B415EA" w:rsidRDefault="00B415EA">
      <w:pPr>
        <w:jc w:val="left"/>
        <w:rPr>
          <w:lang w:val="fr-FR"/>
        </w:rPr>
      </w:pPr>
      <w:r>
        <w:rPr>
          <w:lang w:val="fr-FR"/>
        </w:rPr>
        <w:br w:type="page"/>
      </w:r>
    </w:p>
    <w:p w:rsidR="00B415EA" w:rsidRDefault="00B415EA" w:rsidP="00B415EA">
      <w:pPr>
        <w:pBdr>
          <w:top w:val="single" w:sz="4" w:space="1" w:color="auto"/>
          <w:left w:val="single" w:sz="4" w:space="4" w:color="auto"/>
          <w:bottom w:val="single" w:sz="4" w:space="1" w:color="auto"/>
          <w:right w:val="single" w:sz="4" w:space="4" w:color="auto"/>
        </w:pBdr>
        <w:jc w:val="center"/>
      </w:pPr>
      <w:r>
        <w:lastRenderedPageBreak/>
        <w:t>INTRODUCTION</w:t>
      </w:r>
    </w:p>
    <w:p w:rsidR="00F06233" w:rsidRDefault="00B415EA" w:rsidP="00B415EA">
      <w:r>
        <w:t xml:space="preserve"> </w:t>
      </w:r>
      <w:r w:rsidR="00F06233">
        <w:t>Ce plan d’action CLSS cible des finalités de changement social à atteindre pour l’année 2025.</w:t>
      </w:r>
    </w:p>
    <w:p w:rsidR="00FB6C47" w:rsidRDefault="00FB6C47" w:rsidP="00B415EA">
      <w:r>
        <w:t xml:space="preserve">Il a été réalisé à partir de deux diagnostics communautaires, respectivement dans les quartiers Marolles et Anneessens. 46 associations et services publics et 12 habitants ont été interrogées dans le cadre de ces diagnostics. </w:t>
      </w:r>
    </w:p>
    <w:p w:rsidR="00AB12AA" w:rsidRPr="00AB12AA" w:rsidRDefault="00AB12AA" w:rsidP="00AB12AA">
      <w:pPr>
        <w:rPr>
          <w:lang w:val="fr-FR"/>
        </w:rPr>
      </w:pPr>
      <w:r w:rsidRPr="00AB12AA">
        <w:rPr>
          <w:lang w:val="fr-FR"/>
        </w:rPr>
        <w:t xml:space="preserve">Le plan d’action se développe pour les deux quartiers, avec de légères spécificités par quartier précisées dans les objectifs. </w:t>
      </w:r>
    </w:p>
    <w:p w:rsidR="00AB12AA" w:rsidRPr="00AB12AA" w:rsidRDefault="00AB12AA" w:rsidP="00AB12AA">
      <w:r w:rsidRPr="00AB12AA">
        <w:rPr>
          <w:lang w:val="fr-FR"/>
        </w:rPr>
        <w:t>Ces deux quartiers étant séparés par une petite ban</w:t>
      </w:r>
      <w:r>
        <w:rPr>
          <w:lang w:val="fr-FR"/>
        </w:rPr>
        <w:t xml:space="preserve">de de territoire, Stalingrad, </w:t>
      </w:r>
      <w:r w:rsidRPr="00AB12AA">
        <w:rPr>
          <w:lang w:val="fr-FR"/>
        </w:rPr>
        <w:t>celle-ci est intégrée dans le périmètre opérationnel du plan d’action conformément à la recommandation de la Cellule CLSS.</w:t>
      </w:r>
    </w:p>
    <w:p w:rsidR="00FB6C47" w:rsidRDefault="00092EA6" w:rsidP="00B415EA">
      <w:r>
        <w:t>Le plan d’action est réalisé en concertation avec les acteurs de terrain, par le biais de groupes de travail, de partage en coordination sociale ou de contacts réguliers. La longue liste des problématiques sociales dans les quartiers où se crée une CLSS</w:t>
      </w:r>
      <w:r w:rsidR="00A40933">
        <w:t xml:space="preserve"> a nécessité une priorisation. </w:t>
      </w:r>
    </w:p>
    <w:p w:rsidR="00A40933" w:rsidRDefault="00A40933" w:rsidP="00B415EA">
      <w:r>
        <w:t>Le diagnostic continue à être réalisé chaque année par les référents de chaque quartier</w:t>
      </w:r>
      <w:r w:rsidR="00520508">
        <w:t xml:space="preserve"> afin d’approfondir les thématiques identifiées et priorisées dans le plan d’action, et d’évaluer la nécessité d’adapter les</w:t>
      </w:r>
      <w:r w:rsidR="00956718">
        <w:t xml:space="preserve"> objectifs opérationnels</w:t>
      </w:r>
      <w:r>
        <w:t>.</w:t>
      </w:r>
      <w:r w:rsidR="00C04B9A">
        <w:t xml:space="preserve"> Le Plan d’action et les diagnostics évoluent donc au fur et à mesure de l’avancée dans les actions.</w:t>
      </w:r>
    </w:p>
    <w:p w:rsidR="00952BC2" w:rsidRDefault="00952BC2" w:rsidP="00B415EA">
      <w:r>
        <w:t>L’impact sur les objectifs déterminés feront l’objet d’une auto-évaluation par les projets eux-mêmes, accompagnés par les référents quartiers, et d’une évaluation externe par l’observatoire du social et de la santé.</w:t>
      </w:r>
    </w:p>
    <w:p w:rsidR="00C04B9A" w:rsidRDefault="00C04B9A" w:rsidP="00C04B9A">
      <w:pPr>
        <w:rPr>
          <w:lang w:val="fr-FR"/>
        </w:rPr>
      </w:pPr>
      <w:r>
        <w:rPr>
          <w:lang w:val="fr-FR"/>
        </w:rPr>
        <w:t xml:space="preserve">Du fait de la similarité des diagnostics des quartiers Marolles et Anneessens, la Cellule CLSS propose de fusionner les plan d’action tout en précisant, pour certaines actions, les spécificités relevées d’un quartier particulier. </w:t>
      </w:r>
    </w:p>
    <w:p w:rsidR="00C04B9A" w:rsidRDefault="00C04B9A" w:rsidP="00C04B9A">
      <w:r>
        <w:rPr>
          <w:lang w:val="fr-FR"/>
        </w:rPr>
        <w:t xml:space="preserve">Vu la proximité entre les quartiers Anneessens et Marolles, et qu’il n’existe qu’une petite bande de territoire – le quartier Stalingrad - faisant l’articulation entre les deux quartiers, il est proposé que les acteurs puissent intervenir sur les 3 quartiers à nouveau en veillant à moduler leurs interventions sur les diagnostics spécifiques des deux quartiers.  </w:t>
      </w:r>
    </w:p>
    <w:p w:rsidR="00A217D4" w:rsidRDefault="00824168" w:rsidP="00B415EA">
      <w:r>
        <w:t>Le plan d’action sert de base pour la</w:t>
      </w:r>
      <w:r w:rsidR="001B43D9">
        <w:t xml:space="preserve"> rédaction des appels à projets. </w:t>
      </w:r>
      <w:r w:rsidR="00A217D4">
        <w:br w:type="page"/>
      </w:r>
    </w:p>
    <w:p w:rsidR="00A217D4" w:rsidRPr="001F63D0" w:rsidRDefault="00C72B8E" w:rsidP="00A217D4">
      <w:pPr>
        <w:pBdr>
          <w:top w:val="single" w:sz="4" w:space="1" w:color="auto"/>
          <w:left w:val="single" w:sz="4" w:space="4" w:color="auto"/>
          <w:bottom w:val="single" w:sz="4" w:space="1" w:color="auto"/>
          <w:right w:val="single" w:sz="4" w:space="4" w:color="auto"/>
        </w:pBdr>
        <w:jc w:val="center"/>
        <w:rPr>
          <w:b/>
          <w:lang w:val="fr-FR"/>
        </w:rPr>
      </w:pPr>
      <w:r>
        <w:rPr>
          <w:b/>
          <w:lang w:val="fr-FR"/>
        </w:rPr>
        <w:lastRenderedPageBreak/>
        <w:t xml:space="preserve">LIGNES DE FORCE DU </w:t>
      </w:r>
      <w:r w:rsidR="00A217D4">
        <w:rPr>
          <w:b/>
          <w:lang w:val="fr-FR"/>
        </w:rPr>
        <w:t>DIAGNOSTIC MAROLLES</w:t>
      </w:r>
    </w:p>
    <w:p w:rsidR="00A217D4" w:rsidRDefault="00A217D4" w:rsidP="00A217D4">
      <w:pPr>
        <w:rPr>
          <w:lang w:val="fr-FR"/>
        </w:rPr>
      </w:pPr>
      <w:r>
        <w:rPr>
          <w:lang w:val="fr-FR"/>
        </w:rPr>
        <w:t>Le quartier des Marolles est l’un des plus précarisés de la région bruxelloise, avec une forte concentration de ménages isolés (presque 70%), au revenu médian le plus faible de la région (62% sont BIM), une forte proportion de bénéficiaires du revenu d’intégration sociale (9,4%). 44% des personnes sont inscrites en maisons médicale, mais il n’y a pas de médecin généraliste indépendant dans le quartier. Le territoire est composé de blocs de logements sociaux refermés sur eux-mêmes. Le taux de personnes âgées dans le quartier est similaire à celui de la région, avec une surreprésentation des bénéficiaires de la GRAPPA (60%).</w:t>
      </w:r>
    </w:p>
    <w:p w:rsidR="00A217D4" w:rsidRDefault="00A217D4" w:rsidP="00A217D4">
      <w:pPr>
        <w:rPr>
          <w:lang w:val="fr-FR"/>
        </w:rPr>
      </w:pPr>
      <w:r>
        <w:rPr>
          <w:lang w:val="fr-FR"/>
        </w:rPr>
        <w:t>De nombreuses familles vivent dans des logements inadaptés et trop petits pour leur composition de ménage. Les services d’aide aux locataires constatent des signalisations tardives des demandes d’expulsion, avec des situations complexes aux problèmes sociaux avancés qui nécessitent une coordination. La littérature montre certains que certains publics ou situations sont particulièrement à risque de perte de logement (passé carcéral, violences intrafamiliales, problèmes de santé mentales avec assuétude), ce qui correspond aux constats des services logements. Plusieurs services de première ligne constatent une augmentation des pertes de logement des jeunes de 15-25 ans du fait de l’augmentation des tensions familiales, renforcées par le confinement.</w:t>
      </w:r>
    </w:p>
    <w:p w:rsidR="00C72B8E" w:rsidRDefault="00A217D4" w:rsidP="00A217D4">
      <w:pPr>
        <w:rPr>
          <w:lang w:val="fr-FR"/>
        </w:rPr>
      </w:pPr>
      <w:r>
        <w:rPr>
          <w:lang w:val="fr-FR"/>
        </w:rPr>
        <w:t xml:space="preserve">En matière d’accès aux services, les problèmes liés à la souffrance psychique des bénéficiaires sont systématiquement mentionnés par des services qui ne s’estiment pas toujours outillés pour intégrer cette dimension dans </w:t>
      </w:r>
      <w:r w:rsidR="00C72B8E">
        <w:rPr>
          <w:lang w:val="fr-FR"/>
        </w:rPr>
        <w:t xml:space="preserve">leurs </w:t>
      </w:r>
      <w:r>
        <w:rPr>
          <w:lang w:val="fr-FR"/>
        </w:rPr>
        <w:t xml:space="preserve">missions. Les services de santé mentale sont saturés et ne savent pas répondre à toutes les demandes, et des alternatives au cabinet traditionnel ont des résultats positifs. </w:t>
      </w:r>
    </w:p>
    <w:p w:rsidR="00A217D4" w:rsidRDefault="00A217D4" w:rsidP="00A217D4">
      <w:pPr>
        <w:rPr>
          <w:lang w:val="fr-FR"/>
        </w:rPr>
      </w:pPr>
      <w:r>
        <w:rPr>
          <w:lang w:val="fr-FR"/>
        </w:rPr>
        <w:t xml:space="preserve">La distance du public avec les institutions qui offrent un service au public apparait sous plusieurs formes. Les habitants expriment avoir besoin d’un seul intervenant de confiance capable d’activer un réseau de professionnels afin d’éviter d’être fragmentés entre plusieurs services et intervenants, le besoin de contacts réguliers et de proximité pour développer une relation de confiance, comme les visites à domicile. La lourdeur des procédures administratives, la numérisation des services et la réduction des accueils physiques, le manque de qualité dans les relations avec les agents de services s’adressant au public sont des facteurs </w:t>
      </w:r>
      <w:r w:rsidR="00E07863">
        <w:rPr>
          <w:lang w:val="fr-FR"/>
        </w:rPr>
        <w:t xml:space="preserve">observés et identifiés comme </w:t>
      </w:r>
      <w:r>
        <w:rPr>
          <w:lang w:val="fr-FR"/>
        </w:rPr>
        <w:t>défavorables à l’accès aux services et aux droits sociaux.</w:t>
      </w:r>
    </w:p>
    <w:p w:rsidR="00A217D4" w:rsidRDefault="00A217D4" w:rsidP="00A217D4">
      <w:pPr>
        <w:rPr>
          <w:lang w:val="fr-FR"/>
        </w:rPr>
      </w:pPr>
      <w:r>
        <w:rPr>
          <w:lang w:val="fr-FR"/>
        </w:rPr>
        <w:t xml:space="preserve">La cohésion sociale est également affectée par des tensions dans l’espace public, plus spécifiquement dans les cités de logements sociaux, par des habitants plus jeunes et demandeurs d’emploi. L’emploi des jeunes est présenté comme une réponse </w:t>
      </w:r>
      <w:r w:rsidR="0092409F">
        <w:rPr>
          <w:lang w:val="fr-FR"/>
        </w:rPr>
        <w:t xml:space="preserve">pouvant contribuer </w:t>
      </w:r>
      <w:r>
        <w:rPr>
          <w:lang w:val="fr-FR"/>
        </w:rPr>
        <w:t>à la fois au sentiment de sécurité de personnes âgées, à la précarité des ménages, à la méfiance envers les services publics et aux tensions dans l’espace public.</w:t>
      </w:r>
    </w:p>
    <w:p w:rsidR="00A217D4" w:rsidRDefault="00A217D4" w:rsidP="00A217D4">
      <w:pPr>
        <w:rPr>
          <w:lang w:val="fr-FR"/>
        </w:rPr>
      </w:pPr>
      <w:r>
        <w:rPr>
          <w:lang w:val="fr-FR"/>
        </w:rPr>
        <w:t xml:space="preserve">L’espace public accueille également de nombreuses personnes sans-abris, du fait de la concentration des services s’adressant à eux dans le quartier. Une forte proportion de personnes sans titre de séjour fréquentent également les services locaux pour faire face à leurs besoins. Plusieurs services évoquent une fréquentation de 30 à 50% de ce public, pourtant absent des statistiques. </w:t>
      </w:r>
    </w:p>
    <w:p w:rsidR="002646ED" w:rsidRDefault="00A217D4" w:rsidP="00A217D4">
      <w:pPr>
        <w:rPr>
          <w:lang w:val="fr-FR"/>
        </w:rPr>
      </w:pPr>
      <w:r>
        <w:rPr>
          <w:lang w:val="fr-FR"/>
        </w:rPr>
        <w:t xml:space="preserve">Le tissu associatif est dense et interconnectés, avec des notions existantes en promotion de la santé et des initiatives bas seuils qui semblent donner de bons résultats et qui peuvent être renforcées. Les réseaux de solidarité informelles semblent plus difficiles à percevoir ou à structurer. </w:t>
      </w:r>
    </w:p>
    <w:p w:rsidR="00A217D4" w:rsidRDefault="00A217D4" w:rsidP="00A217D4">
      <w:pPr>
        <w:rPr>
          <w:lang w:val="fr-FR"/>
        </w:rPr>
      </w:pPr>
      <w:r>
        <w:rPr>
          <w:lang w:val="fr-FR"/>
        </w:rPr>
        <w:br w:type="page"/>
      </w:r>
    </w:p>
    <w:p w:rsidR="00A217D4" w:rsidRPr="000F6260" w:rsidRDefault="00C72B8E" w:rsidP="00A217D4">
      <w:pPr>
        <w:pBdr>
          <w:top w:val="single" w:sz="4" w:space="1" w:color="auto"/>
          <w:left w:val="single" w:sz="4" w:space="4" w:color="auto"/>
          <w:bottom w:val="single" w:sz="4" w:space="1" w:color="auto"/>
          <w:right w:val="single" w:sz="4" w:space="4" w:color="auto"/>
        </w:pBdr>
        <w:jc w:val="center"/>
        <w:rPr>
          <w:b/>
          <w:lang w:val="fr-FR"/>
        </w:rPr>
      </w:pPr>
      <w:r>
        <w:rPr>
          <w:b/>
          <w:lang w:val="fr-FR"/>
        </w:rPr>
        <w:lastRenderedPageBreak/>
        <w:t xml:space="preserve">LIGNES DE FORCES DU </w:t>
      </w:r>
      <w:r w:rsidR="00A217D4" w:rsidRPr="000F6260">
        <w:rPr>
          <w:b/>
          <w:lang w:val="fr-FR"/>
        </w:rPr>
        <w:t>DIAGNOSTIC ANNEESSENS</w:t>
      </w:r>
    </w:p>
    <w:p w:rsidR="00A217D4" w:rsidRDefault="00A217D4" w:rsidP="00A217D4">
      <w:pPr>
        <w:rPr>
          <w:lang w:val="fr-FR"/>
        </w:rPr>
      </w:pPr>
      <w:r>
        <w:rPr>
          <w:lang w:val="fr-FR"/>
        </w:rPr>
        <w:t>Le quartier Anneessens est également l’un des plus précarisés de la région. Les constats sont similaires à ceux du quartier Marolles pour ce qui est du logement. Le parc locatif</w:t>
      </w:r>
      <w:r w:rsidR="00C72B8E">
        <w:rPr>
          <w:lang w:val="fr-FR"/>
        </w:rPr>
        <w:t>, très majoritairement privé,</w:t>
      </w:r>
      <w:r>
        <w:rPr>
          <w:lang w:val="fr-FR"/>
        </w:rPr>
        <w:t xml:space="preserve"> est extrêmement dégradé et concentre une forte population d’isolés et de personnes sans titre de séjours. 52% de la population est BIM et 40% de la population est inscrite en Maison Médicale, mais le quartier ne dispose pas d’autres médecins généralistes.</w:t>
      </w:r>
    </w:p>
    <w:p w:rsidR="00FF6DC3" w:rsidRDefault="00A217D4" w:rsidP="00A217D4">
      <w:pPr>
        <w:rPr>
          <w:lang w:val="fr-FR"/>
        </w:rPr>
      </w:pPr>
      <w:r>
        <w:rPr>
          <w:lang w:val="fr-FR"/>
        </w:rPr>
        <w:t xml:space="preserve">Des tensions dans l’espace publique sont fréquemment mentionnées du fait de la présence d’un public sans-abris ou souffrant de problèmes de santé mentale et d’assuétude. Comme dans les Marolles, les services d’aide aux locataires constatent des difficultés dans l’accompagnement des personnes en souffrance psychique ou souffrant de troubles de la </w:t>
      </w:r>
      <w:r w:rsidR="00FF6DC3">
        <w:rPr>
          <w:lang w:val="fr-FR"/>
        </w:rPr>
        <w:t>santé mentale.</w:t>
      </w:r>
    </w:p>
    <w:p w:rsidR="00A217D4" w:rsidRDefault="00A217D4" w:rsidP="00A217D4">
      <w:pPr>
        <w:rPr>
          <w:lang w:val="fr-FR"/>
        </w:rPr>
      </w:pPr>
      <w:r>
        <w:rPr>
          <w:lang w:val="fr-FR"/>
        </w:rPr>
        <w:t xml:space="preserve">L’insalubrité du parc locatif et l’impossibilité de reloger </w:t>
      </w:r>
      <w:r w:rsidR="00FF6DC3">
        <w:rPr>
          <w:lang w:val="fr-FR"/>
        </w:rPr>
        <w:t xml:space="preserve">du fait de la différence entre les revenus et les prix des loyers </w:t>
      </w:r>
      <w:r>
        <w:rPr>
          <w:lang w:val="fr-FR"/>
        </w:rPr>
        <w:t>crée</w:t>
      </w:r>
      <w:r w:rsidR="00C72B8E">
        <w:rPr>
          <w:lang w:val="fr-FR"/>
        </w:rPr>
        <w:t>nt</w:t>
      </w:r>
      <w:r>
        <w:rPr>
          <w:lang w:val="fr-FR"/>
        </w:rPr>
        <w:t xml:space="preserve"> également des difficultés en</w:t>
      </w:r>
      <w:r w:rsidR="003A50E2">
        <w:rPr>
          <w:lang w:val="fr-FR"/>
        </w:rPr>
        <w:t xml:space="preserve"> matière d’accès aux logements, une problématique majeure du quartier.</w:t>
      </w:r>
    </w:p>
    <w:p w:rsidR="009F3D6A" w:rsidRDefault="00A217D4" w:rsidP="009F3D6A">
      <w:pPr>
        <w:rPr>
          <w:lang w:val="fr-FR"/>
        </w:rPr>
      </w:pPr>
      <w:r>
        <w:rPr>
          <w:lang w:val="fr-FR"/>
        </w:rPr>
        <w:t>Comme dans les Marolles, les problèmes liés à la souffrance psychique des bénéficiaires est systématiquement mentionnées comme une difficulté dans l’accompagnement. Le quartier montre néanmoins quelques spécificités : très peu de logements sociaux, une population en moyenne plus jeune que dans les Marolles, la présence de Mineurs Etrangers Non Accompagnés (MENA) et d’ex-MENA sans titres de séjour, avec des problèmes d’assuétudes et qui accrochent peu les services</w:t>
      </w:r>
      <w:r w:rsidR="003A72D2">
        <w:rPr>
          <w:lang w:val="fr-FR"/>
        </w:rPr>
        <w:t xml:space="preserve"> mais qui expriment une demande d’accompagnement</w:t>
      </w:r>
      <w:r>
        <w:rPr>
          <w:lang w:val="fr-FR"/>
        </w:rPr>
        <w:t>.</w:t>
      </w:r>
      <w:r w:rsidR="009F3D6A">
        <w:rPr>
          <w:lang w:val="fr-FR"/>
        </w:rPr>
        <w:t xml:space="preserve"> </w:t>
      </w:r>
    </w:p>
    <w:p w:rsidR="00A217D4" w:rsidRDefault="00A217D4" w:rsidP="00A217D4">
      <w:pPr>
        <w:rPr>
          <w:lang w:val="fr-FR"/>
        </w:rPr>
      </w:pPr>
      <w:r>
        <w:rPr>
          <w:lang w:val="fr-FR"/>
        </w:rPr>
        <w:t xml:space="preserve">Les personnes sans titres de séjours sont </w:t>
      </w:r>
      <w:r w:rsidR="00C01806">
        <w:rPr>
          <w:lang w:val="fr-FR"/>
        </w:rPr>
        <w:t xml:space="preserve">également </w:t>
      </w:r>
      <w:r>
        <w:rPr>
          <w:lang w:val="fr-FR"/>
        </w:rPr>
        <w:t>très représentées dans les services.</w:t>
      </w:r>
    </w:p>
    <w:p w:rsidR="002646ED" w:rsidRDefault="002646ED" w:rsidP="002646ED">
      <w:pPr>
        <w:pBdr>
          <w:top w:val="single" w:sz="4" w:space="1" w:color="auto"/>
          <w:left w:val="single" w:sz="4" w:space="4" w:color="auto"/>
          <w:bottom w:val="single" w:sz="4" w:space="1" w:color="auto"/>
          <w:right w:val="single" w:sz="4" w:space="4" w:color="auto"/>
        </w:pBdr>
        <w:jc w:val="center"/>
        <w:rPr>
          <w:b/>
          <w:lang w:val="fr-FR"/>
        </w:rPr>
      </w:pPr>
      <w:r>
        <w:rPr>
          <w:b/>
          <w:lang w:val="fr-FR"/>
        </w:rPr>
        <w:t>LIGNES DE FORCES COMMUNES AUX DEUX QUARTIERS</w:t>
      </w:r>
    </w:p>
    <w:p w:rsidR="002646ED" w:rsidRDefault="002646ED" w:rsidP="002646ED">
      <w:pPr>
        <w:rPr>
          <w:lang w:val="fr-FR"/>
        </w:rPr>
      </w:pPr>
      <w:r>
        <w:rPr>
          <w:lang w:val="fr-FR"/>
        </w:rPr>
        <w:t>La méfiance envers les institutions qualifiées de « politiques » est, comme dans les Marolles, omniprésente dans les discours. Spécificité du quartier : cette méfiance porte également sur les associations subventionnées. Elle est liée à la difficulté d’avoir un interlocuteur qui donne une réponse considérée comme adéquate aux problèmes des habitants (pas de réponse, pas de suivi dans les demandes, pas de logements accessibles, renvois dans plusieurs services, difficultés d’accès physique ou d’avoir un interlocuteur humain qui connait le dossier dans un contexte de numérisation).  Les problèmes de santé sont perçus comme secondaires face aux difficultés sociales et comme des « intrusions » dans une logique de survie, avec laquelle il faut composer.</w:t>
      </w:r>
    </w:p>
    <w:p w:rsidR="003A72D2" w:rsidRDefault="003A72D2" w:rsidP="003A72D2">
      <w:pPr>
        <w:spacing w:after="0"/>
        <w:rPr>
          <w:lang w:val="fr-FR"/>
        </w:rPr>
      </w:pPr>
      <w:r>
        <w:rPr>
          <w:lang w:val="fr-FR"/>
        </w:rPr>
        <w:t>Des facteurs favorables au recours aux droits sociaux et aux services sociaux et de santé ont été identifiées :</w:t>
      </w:r>
    </w:p>
    <w:p w:rsidR="003A72D2" w:rsidRDefault="003A72D2" w:rsidP="003A72D2">
      <w:pPr>
        <w:pStyle w:val="Paragraphedeliste"/>
        <w:numPr>
          <w:ilvl w:val="0"/>
          <w:numId w:val="3"/>
        </w:numPr>
        <w:rPr>
          <w:lang w:val="fr-FR"/>
        </w:rPr>
      </w:pPr>
      <w:r>
        <w:rPr>
          <w:lang w:val="fr-FR"/>
        </w:rPr>
        <w:t>Des services avec des approches centrées sur les processus et la nature et qualité de l’aide plutôt que de résultats chiffrés ;</w:t>
      </w:r>
    </w:p>
    <w:p w:rsidR="003A72D2" w:rsidRDefault="003A72D2" w:rsidP="003A72D2">
      <w:pPr>
        <w:pStyle w:val="Paragraphedeliste"/>
        <w:numPr>
          <w:ilvl w:val="0"/>
          <w:numId w:val="3"/>
        </w:numPr>
        <w:rPr>
          <w:lang w:val="fr-FR"/>
        </w:rPr>
      </w:pPr>
      <w:r>
        <w:rPr>
          <w:lang w:val="fr-FR"/>
        </w:rPr>
        <w:t>Des programmes de supervision des professionnels spécifiques aux publics précarisés ;</w:t>
      </w:r>
    </w:p>
    <w:p w:rsidR="003A72D2" w:rsidRDefault="003A72D2" w:rsidP="003A72D2">
      <w:pPr>
        <w:pStyle w:val="Paragraphedeliste"/>
        <w:numPr>
          <w:ilvl w:val="0"/>
          <w:numId w:val="3"/>
        </w:numPr>
        <w:rPr>
          <w:lang w:val="fr-FR"/>
        </w:rPr>
      </w:pPr>
      <w:r>
        <w:rPr>
          <w:lang w:val="fr-FR"/>
        </w:rPr>
        <w:t>Les partenariats intersectoriels, comme entre les organismes de jeunesses et d’insertion socioprofessionnelle ;</w:t>
      </w:r>
    </w:p>
    <w:p w:rsidR="003A72D2" w:rsidRDefault="003A72D2" w:rsidP="003A72D2">
      <w:pPr>
        <w:pStyle w:val="Paragraphedeliste"/>
        <w:numPr>
          <w:ilvl w:val="0"/>
          <w:numId w:val="3"/>
        </w:numPr>
        <w:rPr>
          <w:lang w:val="fr-FR"/>
        </w:rPr>
      </w:pPr>
      <w:r>
        <w:rPr>
          <w:lang w:val="fr-FR"/>
        </w:rPr>
        <w:t>La priorité à la qualité relationnelle comme condition de l’aide, avant le contrôle de l’éligibilité au droit ou au service ou les démarches administratives ;</w:t>
      </w:r>
    </w:p>
    <w:p w:rsidR="003A72D2" w:rsidRDefault="003A72D2" w:rsidP="003A72D2">
      <w:pPr>
        <w:pStyle w:val="Paragraphedeliste"/>
        <w:numPr>
          <w:ilvl w:val="0"/>
          <w:numId w:val="3"/>
        </w:numPr>
        <w:rPr>
          <w:lang w:val="fr-FR"/>
        </w:rPr>
      </w:pPr>
      <w:r>
        <w:rPr>
          <w:lang w:val="fr-FR"/>
        </w:rPr>
        <w:t>Les suivis rapprochés et les contacts fréquents par les intervenants, pas exclusivement fondé sur la demande directe ou le mode problème/solution, mais sur la construction de confiance, la reconnaissance et le renforcement de l’estime de soi ;</w:t>
      </w:r>
    </w:p>
    <w:p w:rsidR="003A72D2" w:rsidRDefault="003A72D2" w:rsidP="003A72D2">
      <w:pPr>
        <w:pStyle w:val="Paragraphedeliste"/>
        <w:numPr>
          <w:ilvl w:val="0"/>
          <w:numId w:val="3"/>
        </w:numPr>
        <w:rPr>
          <w:lang w:val="fr-FR"/>
        </w:rPr>
      </w:pPr>
      <w:r>
        <w:rPr>
          <w:lang w:val="fr-FR"/>
        </w:rPr>
        <w:t>Un accueil physique, outillé pour l’écoute, avec une approche bas seuil (flexibilité du cadre institutionnel, permanences sans rendez-vous) ;</w:t>
      </w:r>
    </w:p>
    <w:p w:rsidR="003A72D2" w:rsidRDefault="003A72D2" w:rsidP="003A72D2">
      <w:pPr>
        <w:pStyle w:val="Paragraphedeliste"/>
        <w:numPr>
          <w:ilvl w:val="0"/>
          <w:numId w:val="3"/>
        </w:numPr>
        <w:rPr>
          <w:lang w:val="fr-FR"/>
        </w:rPr>
      </w:pPr>
      <w:r>
        <w:rPr>
          <w:lang w:val="fr-FR"/>
        </w:rPr>
        <w:t>La concentration des services accessibles dans une même structure afin de faciliter les orientations ;</w:t>
      </w:r>
    </w:p>
    <w:p w:rsidR="003A72D2" w:rsidRDefault="003A72D2" w:rsidP="003A72D2">
      <w:pPr>
        <w:pStyle w:val="Paragraphedeliste"/>
        <w:numPr>
          <w:ilvl w:val="0"/>
          <w:numId w:val="3"/>
        </w:numPr>
        <w:rPr>
          <w:lang w:val="fr-FR"/>
        </w:rPr>
      </w:pPr>
      <w:r>
        <w:rPr>
          <w:lang w:val="fr-FR"/>
        </w:rPr>
        <w:t>Avoir un ou deux intervenants de référence faisant le relais avec un réseau d’aide et de santé et les dispositifs existants plutôt que d’envoyer la personne dans chaque service (qui doit répéter son histoire), comme les approches de travail social en réseau ou de les réseaux de soins.</w:t>
      </w:r>
    </w:p>
    <w:p w:rsidR="00A217D4" w:rsidRDefault="00A217D4" w:rsidP="00A217D4">
      <w:pPr>
        <w:rPr>
          <w:lang w:val="fr-FR"/>
        </w:rPr>
      </w:pPr>
      <w:r>
        <w:rPr>
          <w:lang w:val="fr-FR"/>
        </w:rPr>
        <w:br w:type="page"/>
      </w:r>
    </w:p>
    <w:p w:rsidR="00A217D4" w:rsidRDefault="00A217D4" w:rsidP="00B94DAE">
      <w:pPr>
        <w:pStyle w:val="Titre1"/>
        <w:shd w:val="clear" w:color="auto" w:fill="FFE599" w:themeFill="accent4" w:themeFillTint="66"/>
      </w:pPr>
      <w:r>
        <w:lastRenderedPageBreak/>
        <w:t xml:space="preserve">Objectif </w:t>
      </w:r>
      <w:r w:rsidRPr="00E418FC">
        <w:t>Général</w:t>
      </w:r>
      <w:r>
        <w:t xml:space="preserve"> 1 : Diminuer les pertes de logement dans le quartier.</w:t>
      </w:r>
    </w:p>
    <w:p w:rsidR="00A217D4" w:rsidRDefault="00A217D4" w:rsidP="00A217D4">
      <w:pPr>
        <w:rPr>
          <w:lang w:val="fr-FR"/>
        </w:rPr>
      </w:pPr>
      <w:r>
        <w:rPr>
          <w:lang w:val="fr-FR"/>
        </w:rPr>
        <w:t xml:space="preserve">L’objectif général 1 reprend l’une des priorités des CLSS, qui est de travailler sur la </w:t>
      </w:r>
      <w:r w:rsidRPr="00805D79">
        <w:rPr>
          <w:b/>
          <w:i/>
          <w:lang w:val="fr-FR"/>
        </w:rPr>
        <w:t>prévention des expulsions domiciliaires</w:t>
      </w:r>
      <w:r>
        <w:rPr>
          <w:lang w:val="fr-FR"/>
        </w:rPr>
        <w:t xml:space="preserve">. La finalité est la </w:t>
      </w:r>
      <w:r w:rsidRPr="00805D79">
        <w:rPr>
          <w:b/>
          <w:i/>
          <w:lang w:val="fr-FR"/>
        </w:rPr>
        <w:t>diminution des pertes de logements dans les quartiers Marolles et Anneessens</w:t>
      </w:r>
      <w:r w:rsidR="00E064F8" w:rsidRPr="00805D79">
        <w:rPr>
          <w:b/>
          <w:i/>
          <w:lang w:val="fr-FR"/>
        </w:rPr>
        <w:t>, inclu</w:t>
      </w:r>
      <w:r w:rsidR="00805D79">
        <w:rPr>
          <w:b/>
          <w:i/>
          <w:lang w:val="fr-FR"/>
        </w:rPr>
        <w:t>an</w:t>
      </w:r>
      <w:r w:rsidR="00E064F8" w:rsidRPr="00805D79">
        <w:rPr>
          <w:b/>
          <w:i/>
          <w:lang w:val="fr-FR"/>
        </w:rPr>
        <w:t>t la zone Stalingrad</w:t>
      </w:r>
      <w:r>
        <w:rPr>
          <w:lang w:val="fr-FR"/>
        </w:rPr>
        <w:t>.</w:t>
      </w:r>
    </w:p>
    <w:p w:rsidR="00A217D4" w:rsidRDefault="00544102" w:rsidP="00B94DAE">
      <w:pPr>
        <w:pStyle w:val="Titre2"/>
        <w:shd w:val="clear" w:color="auto" w:fill="F7CAAC" w:themeFill="accent2" w:themeFillTint="66"/>
      </w:pPr>
      <w:r>
        <w:t>(OI</w:t>
      </w:r>
      <w:r w:rsidR="00A217D4">
        <w:t>). Les personnes en situation de risque de perte de logement sont accompagnées de manière précoce par un service de 1</w:t>
      </w:r>
      <w:r w:rsidR="00A217D4" w:rsidRPr="003E57AF">
        <w:rPr>
          <w:vertAlign w:val="superscript"/>
        </w:rPr>
        <w:t>ère</w:t>
      </w:r>
      <w:r w:rsidR="00A217D4">
        <w:t xml:space="preserve"> ligne. </w:t>
      </w:r>
    </w:p>
    <w:p w:rsidR="00A217D4" w:rsidRPr="00E418FC" w:rsidRDefault="00A217D4" w:rsidP="00A217D4">
      <w:pPr>
        <w:rPr>
          <w:b/>
          <w:i/>
          <w:lang w:val="fr-FR"/>
        </w:rPr>
      </w:pPr>
      <w:r w:rsidRPr="00E418FC">
        <w:rPr>
          <w:b/>
          <w:i/>
          <w:lang w:val="fr-FR"/>
        </w:rPr>
        <w:t>Constats fondant l’objectif</w:t>
      </w:r>
    </w:p>
    <w:p w:rsidR="00A217D4" w:rsidRPr="00F56D9A" w:rsidRDefault="00A217D4" w:rsidP="00A217D4">
      <w:pPr>
        <w:rPr>
          <w:i/>
        </w:rPr>
      </w:pPr>
      <w:r w:rsidRPr="00F56D9A">
        <w:rPr>
          <w:i/>
        </w:rPr>
        <w:t>De nombreuses situations urgentes sont détectées trop tardivement par les services d’aide aux locataires, qui auraient pu être prévenues si elle avaient été identifiées de manière plus précoce.</w:t>
      </w:r>
    </w:p>
    <w:p w:rsidR="00A217D4" w:rsidRPr="00E418FC" w:rsidRDefault="00A217D4" w:rsidP="00A217D4">
      <w:pPr>
        <w:rPr>
          <w:b/>
          <w:i/>
        </w:rPr>
      </w:pPr>
      <w:r w:rsidRPr="00E418FC">
        <w:rPr>
          <w:b/>
          <w:i/>
        </w:rPr>
        <w:t xml:space="preserve">Possibles parties prenantes </w:t>
      </w:r>
    </w:p>
    <w:p w:rsidR="00A217D4" w:rsidRPr="008F0CB0" w:rsidRDefault="00A217D4" w:rsidP="00A217D4">
      <w:pPr>
        <w:rPr>
          <w:i/>
        </w:rPr>
      </w:pPr>
      <w:r w:rsidRPr="008F0CB0">
        <w:rPr>
          <w:i/>
        </w:rPr>
        <w:t>Permanences ONE, centres médicaux, services sociaux de 1</w:t>
      </w:r>
      <w:r w:rsidRPr="008F0CB0">
        <w:rPr>
          <w:i/>
          <w:vertAlign w:val="superscript"/>
        </w:rPr>
        <w:t>ère</w:t>
      </w:r>
      <w:r w:rsidRPr="008F0CB0">
        <w:rPr>
          <w:i/>
        </w:rPr>
        <w:t xml:space="preserve"> ligne (antennes</w:t>
      </w:r>
      <w:r w:rsidR="00E84E04">
        <w:rPr>
          <w:i/>
        </w:rPr>
        <w:t xml:space="preserve"> CPAS</w:t>
      </w:r>
      <w:r w:rsidRPr="008F0CB0">
        <w:rPr>
          <w:i/>
        </w:rPr>
        <w:t>, associatif</w:t>
      </w:r>
      <w:r w:rsidR="00E84E04">
        <w:rPr>
          <w:i/>
        </w:rPr>
        <w:t>, services publics</w:t>
      </w:r>
      <w:r w:rsidRPr="008F0CB0">
        <w:rPr>
          <w:i/>
        </w:rPr>
        <w:t>), services de santé mentale, services de guidance, maisons de quartier, Projets de cohésion sociale, services d’aide ou de soins à domicile, services de support méthodologiques (universités), les services d’aide sociale d</w:t>
      </w:r>
      <w:r w:rsidR="008F0CB0">
        <w:rPr>
          <w:i/>
        </w:rPr>
        <w:t>es logements sociaux, les AIS, etc.</w:t>
      </w:r>
    </w:p>
    <w:p w:rsidR="00A217D4" w:rsidRDefault="00544102" w:rsidP="00B94DAE">
      <w:pPr>
        <w:pStyle w:val="Titre3"/>
        <w:shd w:val="clear" w:color="auto" w:fill="C5E0B3" w:themeFill="accent6" w:themeFillTint="66"/>
      </w:pPr>
      <w:r>
        <w:t>(OO</w:t>
      </w:r>
      <w:r w:rsidR="00A217D4">
        <w:t>). Les</w:t>
      </w:r>
      <w:r w:rsidR="00A217D4" w:rsidRPr="002C50AF">
        <w:t xml:space="preserve"> personnes en situation de risque de perte de logement sont systématiquemen</w:t>
      </w:r>
      <w:r w:rsidR="00A217D4">
        <w:t xml:space="preserve">t repérées et informées par les </w:t>
      </w:r>
      <w:r w:rsidR="00A217D4" w:rsidRPr="002C50AF">
        <w:t xml:space="preserve">services de </w:t>
      </w:r>
      <w:r w:rsidR="00A217D4">
        <w:t>1</w:t>
      </w:r>
      <w:r w:rsidR="00A217D4" w:rsidRPr="00E73C17">
        <w:rPr>
          <w:vertAlign w:val="superscript"/>
        </w:rPr>
        <w:t>ère</w:t>
      </w:r>
      <w:r w:rsidR="00A217D4">
        <w:t xml:space="preserve"> </w:t>
      </w:r>
      <w:r w:rsidR="00A217D4" w:rsidRPr="002C50AF">
        <w:t xml:space="preserve">ligne non spécialisés du quartier de </w:t>
      </w:r>
      <w:r w:rsidR="00A217D4" w:rsidRPr="00E418FC">
        <w:t>manière</w:t>
      </w:r>
      <w:r w:rsidR="00A217D4" w:rsidRPr="002C50AF">
        <w:t xml:space="preserve"> précoce</w:t>
      </w:r>
      <w:r w:rsidR="00A217D4">
        <w:t>, dans le cadre de leur mission habituelle</w:t>
      </w:r>
      <w:r w:rsidR="00A217D4" w:rsidRPr="002C50AF">
        <w:t>.</w:t>
      </w:r>
    </w:p>
    <w:p w:rsidR="00A217D4" w:rsidRPr="00E418FC" w:rsidRDefault="00A217D4" w:rsidP="00A217D4">
      <w:pPr>
        <w:rPr>
          <w:b/>
          <w:i/>
          <w:lang w:val="fr-FR"/>
        </w:rPr>
      </w:pPr>
      <w:r w:rsidRPr="00E418FC">
        <w:rPr>
          <w:b/>
          <w:i/>
          <w:lang w:val="fr-FR"/>
        </w:rPr>
        <w:t xml:space="preserve">Actions </w:t>
      </w:r>
      <w:r>
        <w:rPr>
          <w:b/>
          <w:i/>
          <w:lang w:val="fr-FR"/>
        </w:rPr>
        <w:t>suggérées</w:t>
      </w:r>
    </w:p>
    <w:tbl>
      <w:tblPr>
        <w:tblStyle w:val="Grilledutableau"/>
        <w:tblW w:w="10485" w:type="dxa"/>
        <w:tblLayout w:type="fixed"/>
        <w:tblLook w:val="04A0" w:firstRow="1" w:lastRow="0" w:firstColumn="1" w:lastColumn="0" w:noHBand="0" w:noVBand="1"/>
      </w:tblPr>
      <w:tblGrid>
        <w:gridCol w:w="671"/>
        <w:gridCol w:w="9814"/>
      </w:tblGrid>
      <w:tr w:rsidR="00A217D4" w:rsidRPr="002C50AF" w:rsidTr="00653C0B">
        <w:trPr>
          <w:trHeight w:val="382"/>
        </w:trPr>
        <w:tc>
          <w:tcPr>
            <w:tcW w:w="671" w:type="dxa"/>
          </w:tcPr>
          <w:p w:rsidR="00A217D4" w:rsidRPr="00CF759D" w:rsidRDefault="00A217D4" w:rsidP="00C72B8E">
            <w:pPr>
              <w:rPr>
                <w:b/>
                <w:lang w:val="fr-FR"/>
              </w:rPr>
            </w:pPr>
            <w:r w:rsidRPr="00CF759D">
              <w:rPr>
                <w:b/>
                <w:lang w:val="fr-FR"/>
              </w:rPr>
              <w:t>A1</w:t>
            </w:r>
          </w:p>
        </w:tc>
        <w:tc>
          <w:tcPr>
            <w:tcW w:w="9814" w:type="dxa"/>
          </w:tcPr>
          <w:p w:rsidR="00A217D4" w:rsidRPr="002C50AF" w:rsidRDefault="00A217D4" w:rsidP="00C72B8E">
            <w:pPr>
              <w:rPr>
                <w:lang w:val="fr-FR"/>
              </w:rPr>
            </w:pPr>
            <w:r>
              <w:rPr>
                <w:lang w:val="fr-FR"/>
              </w:rPr>
              <w:t>Ces services de 1</w:t>
            </w:r>
            <w:r w:rsidRPr="00E73C17">
              <w:rPr>
                <w:vertAlign w:val="superscript"/>
                <w:lang w:val="fr-FR"/>
              </w:rPr>
              <w:t>ère</w:t>
            </w:r>
            <w:r>
              <w:rPr>
                <w:lang w:val="fr-FR"/>
              </w:rPr>
              <w:t xml:space="preserve"> ligne</w:t>
            </w:r>
            <w:r w:rsidRPr="00490247">
              <w:rPr>
                <w:lang w:val="fr-FR"/>
              </w:rPr>
              <w:t xml:space="preserve"> implémentent ou développent un outil de repérage systématique des situations à risques.</w:t>
            </w:r>
          </w:p>
        </w:tc>
      </w:tr>
      <w:tr w:rsidR="00A217D4" w:rsidRPr="00490247" w:rsidTr="00653C0B">
        <w:trPr>
          <w:trHeight w:val="558"/>
        </w:trPr>
        <w:tc>
          <w:tcPr>
            <w:tcW w:w="671" w:type="dxa"/>
          </w:tcPr>
          <w:p w:rsidR="00A217D4" w:rsidRPr="000900D1" w:rsidRDefault="00A217D4" w:rsidP="00C72B8E">
            <w:pPr>
              <w:rPr>
                <w:b/>
                <w:lang w:val="fr-FR"/>
              </w:rPr>
            </w:pPr>
            <w:r>
              <w:rPr>
                <w:b/>
                <w:lang w:val="fr-FR"/>
              </w:rPr>
              <w:t>A2</w:t>
            </w:r>
          </w:p>
        </w:tc>
        <w:tc>
          <w:tcPr>
            <w:tcW w:w="9814" w:type="dxa"/>
          </w:tcPr>
          <w:p w:rsidR="00A217D4" w:rsidRPr="00490247" w:rsidRDefault="00A217D4" w:rsidP="00EA2BB2">
            <w:r>
              <w:rPr>
                <w:color w:val="000000"/>
              </w:rPr>
              <w:t xml:space="preserve"> </w:t>
            </w:r>
            <w:r w:rsidR="00EA2BB2">
              <w:rPr>
                <w:color w:val="000000"/>
              </w:rPr>
              <w:t xml:space="preserve">Annuellement, jusqu’à 200 </w:t>
            </w:r>
            <w:r>
              <w:rPr>
                <w:color w:val="000000"/>
              </w:rPr>
              <w:t>personnes en risque de perte de logement repérées par les services de 1</w:t>
            </w:r>
            <w:r w:rsidRPr="00B035C5">
              <w:rPr>
                <w:color w:val="000000"/>
                <w:vertAlign w:val="superscript"/>
              </w:rPr>
              <w:t>ère</w:t>
            </w:r>
            <w:r>
              <w:rPr>
                <w:color w:val="000000"/>
              </w:rPr>
              <w:t xml:space="preserve"> ligne sont informées proactivement sur les démarches et les services possibles.</w:t>
            </w:r>
          </w:p>
        </w:tc>
      </w:tr>
    </w:tbl>
    <w:p w:rsidR="00A217D4" w:rsidRDefault="00544102" w:rsidP="00B94DAE">
      <w:pPr>
        <w:pStyle w:val="Titre3"/>
        <w:shd w:val="clear" w:color="auto" w:fill="C5E0B3" w:themeFill="accent6" w:themeFillTint="66"/>
      </w:pPr>
      <w:r>
        <w:t xml:space="preserve"> (OO</w:t>
      </w:r>
      <w:r w:rsidR="00A217D4">
        <w:t>). Les services de 1</w:t>
      </w:r>
      <w:r w:rsidR="00A217D4" w:rsidRPr="00E418FC">
        <w:rPr>
          <w:vertAlign w:val="superscript"/>
        </w:rPr>
        <w:t>ère</w:t>
      </w:r>
      <w:r w:rsidR="00A217D4">
        <w:t xml:space="preserve"> ligne et les service d’aide aux locataires </w:t>
      </w:r>
      <w:r w:rsidR="00B53037">
        <w:t>collaborent activement selon un protocole établi</w:t>
      </w:r>
      <w:r w:rsidR="00A217D4">
        <w:t>.</w:t>
      </w:r>
    </w:p>
    <w:p w:rsidR="00A217D4" w:rsidRPr="00E418FC" w:rsidRDefault="00A217D4" w:rsidP="00A217D4">
      <w:pPr>
        <w:rPr>
          <w:b/>
          <w:i/>
          <w:lang w:val="fr-FR"/>
        </w:rPr>
      </w:pPr>
      <w:r w:rsidRPr="00E418FC">
        <w:rPr>
          <w:b/>
          <w:i/>
          <w:lang w:val="fr-FR"/>
        </w:rPr>
        <w:t xml:space="preserve">Actions </w:t>
      </w:r>
      <w:r>
        <w:rPr>
          <w:b/>
          <w:i/>
          <w:lang w:val="fr-FR"/>
        </w:rPr>
        <w:t>suggérées</w:t>
      </w:r>
    </w:p>
    <w:tbl>
      <w:tblPr>
        <w:tblStyle w:val="Grilledutableau"/>
        <w:tblW w:w="10485" w:type="dxa"/>
        <w:tblLayout w:type="fixed"/>
        <w:tblLook w:val="04A0" w:firstRow="1" w:lastRow="0" w:firstColumn="1" w:lastColumn="0" w:noHBand="0" w:noVBand="1"/>
      </w:tblPr>
      <w:tblGrid>
        <w:gridCol w:w="671"/>
        <w:gridCol w:w="9814"/>
      </w:tblGrid>
      <w:tr w:rsidR="00A217D4" w:rsidRPr="0069494A" w:rsidTr="00653C0B">
        <w:trPr>
          <w:trHeight w:val="573"/>
        </w:trPr>
        <w:tc>
          <w:tcPr>
            <w:tcW w:w="671" w:type="dxa"/>
          </w:tcPr>
          <w:p w:rsidR="00A217D4" w:rsidRPr="0069494A" w:rsidRDefault="00A217D4" w:rsidP="00C72B8E">
            <w:pPr>
              <w:rPr>
                <w:b/>
                <w:lang w:val="fr-FR"/>
              </w:rPr>
            </w:pPr>
            <w:r>
              <w:rPr>
                <w:b/>
                <w:lang w:val="fr-FR"/>
              </w:rPr>
              <w:t>A1</w:t>
            </w:r>
          </w:p>
        </w:tc>
        <w:tc>
          <w:tcPr>
            <w:tcW w:w="9814" w:type="dxa"/>
          </w:tcPr>
          <w:p w:rsidR="00A217D4" w:rsidRPr="0069494A" w:rsidRDefault="00A217D4" w:rsidP="00EA2BB2">
            <w:r>
              <w:rPr>
                <w:color w:val="000000"/>
              </w:rPr>
              <w:t>Une cycle de concertations est organisé entre ces services d’aide aux locataires et les services de première ligne du projet dans le but d'identifier les possibilités de collaboration.</w:t>
            </w:r>
          </w:p>
        </w:tc>
      </w:tr>
      <w:tr w:rsidR="00A217D4" w:rsidTr="00653C0B">
        <w:trPr>
          <w:trHeight w:val="567"/>
        </w:trPr>
        <w:tc>
          <w:tcPr>
            <w:tcW w:w="671" w:type="dxa"/>
          </w:tcPr>
          <w:p w:rsidR="00A217D4" w:rsidRPr="00C61E77" w:rsidRDefault="00A217D4" w:rsidP="00C72B8E">
            <w:pPr>
              <w:rPr>
                <w:b/>
                <w:lang w:val="fr-FR"/>
              </w:rPr>
            </w:pPr>
            <w:r>
              <w:rPr>
                <w:b/>
                <w:lang w:val="fr-FR"/>
              </w:rPr>
              <w:t>A2</w:t>
            </w:r>
          </w:p>
        </w:tc>
        <w:tc>
          <w:tcPr>
            <w:tcW w:w="9814" w:type="dxa"/>
          </w:tcPr>
          <w:p w:rsidR="00A217D4" w:rsidRDefault="00A217D4" w:rsidP="00C72B8E">
            <w:pPr>
              <w:rPr>
                <w:lang w:val="fr-FR"/>
              </w:rPr>
            </w:pPr>
            <w:r>
              <w:rPr>
                <w:lang w:val="fr-FR"/>
              </w:rPr>
              <w:t>Les services impliqués développent un protocole de collaboration, qui définit les rôles de chacun et les modalités de collaboration.</w:t>
            </w:r>
          </w:p>
        </w:tc>
      </w:tr>
      <w:tr w:rsidR="00A217D4" w:rsidRPr="008B33DA" w:rsidTr="00653C0B">
        <w:trPr>
          <w:trHeight w:val="561"/>
        </w:trPr>
        <w:tc>
          <w:tcPr>
            <w:tcW w:w="671" w:type="dxa"/>
          </w:tcPr>
          <w:p w:rsidR="00A217D4" w:rsidRPr="00632E43" w:rsidRDefault="00A217D4" w:rsidP="00C72B8E">
            <w:pPr>
              <w:rPr>
                <w:b/>
                <w:lang w:val="fr-FR"/>
              </w:rPr>
            </w:pPr>
            <w:r>
              <w:rPr>
                <w:b/>
                <w:lang w:val="fr-FR"/>
              </w:rPr>
              <w:t>A3</w:t>
            </w:r>
          </w:p>
        </w:tc>
        <w:tc>
          <w:tcPr>
            <w:tcW w:w="9814" w:type="dxa"/>
          </w:tcPr>
          <w:p w:rsidR="00A217D4" w:rsidRPr="008B33DA" w:rsidRDefault="001973CC" w:rsidP="005B3C85">
            <w:pPr>
              <w:rPr>
                <w:lang w:val="fr-FR"/>
              </w:rPr>
            </w:pPr>
            <w:r>
              <w:rPr>
                <w:lang w:val="fr-FR"/>
              </w:rPr>
              <w:t>5</w:t>
            </w:r>
            <w:r w:rsidR="00220AA2">
              <w:rPr>
                <w:lang w:val="fr-FR"/>
              </w:rPr>
              <w:t>0</w:t>
            </w:r>
            <w:r w:rsidR="00025A40">
              <w:rPr>
                <w:lang w:val="fr-FR"/>
              </w:rPr>
              <w:t xml:space="preserve"> </w:t>
            </w:r>
            <w:r w:rsidR="00A217D4">
              <w:rPr>
                <w:lang w:val="fr-FR"/>
              </w:rPr>
              <w:t>personnes en situation à risque de logement repérées de manière précoce sont accompagnées vers des services d’aide aux locataires</w:t>
            </w:r>
            <w:r w:rsidR="00025A40">
              <w:rPr>
                <w:lang w:val="fr-FR"/>
              </w:rPr>
              <w:t xml:space="preserve"> par an par quartier</w:t>
            </w:r>
            <w:r w:rsidR="00A217D4">
              <w:rPr>
                <w:lang w:val="fr-FR"/>
              </w:rPr>
              <w:t>.</w:t>
            </w:r>
          </w:p>
        </w:tc>
      </w:tr>
    </w:tbl>
    <w:p w:rsidR="00A217D4" w:rsidRDefault="00544102" w:rsidP="005D33DE">
      <w:pPr>
        <w:pStyle w:val="Titre2"/>
        <w:shd w:val="clear" w:color="auto" w:fill="F7CAAC" w:themeFill="accent2" w:themeFillTint="66"/>
      </w:pPr>
      <w:r>
        <w:t>(OI</w:t>
      </w:r>
      <w:r w:rsidR="00A217D4">
        <w:t xml:space="preserve">). Les </w:t>
      </w:r>
      <w:r w:rsidR="00A217D4" w:rsidRPr="00632E43">
        <w:t>personnes identifiées comme des publics spécifiquement vulnérables</w:t>
      </w:r>
      <w:r w:rsidR="00A217D4">
        <w:t xml:space="preserve"> ou en situation à risque en matière d’</w:t>
      </w:r>
      <w:r w:rsidR="00A217D4" w:rsidRPr="00632E43">
        <w:t>expulsions domiciliaires reçoivent des répons</w:t>
      </w:r>
      <w:r w:rsidR="00A217D4">
        <w:t>es adaptées à leurs spécificités, avec une priorité pour les problématiques lié</w:t>
      </w:r>
      <w:r w:rsidR="006035B2">
        <w:t>es</w:t>
      </w:r>
      <w:r w:rsidR="00A217D4">
        <w:t xml:space="preserve"> à la santé mentale.</w:t>
      </w:r>
    </w:p>
    <w:p w:rsidR="00A217D4" w:rsidRDefault="00A217D4" w:rsidP="00A217D4">
      <w:pPr>
        <w:rPr>
          <w:b/>
          <w:i/>
          <w:lang w:val="fr-FR"/>
        </w:rPr>
      </w:pPr>
      <w:r>
        <w:rPr>
          <w:b/>
          <w:i/>
          <w:lang w:val="fr-FR"/>
        </w:rPr>
        <w:t>Constats fondant l’objectif</w:t>
      </w:r>
    </w:p>
    <w:p w:rsidR="00A217D4" w:rsidRPr="008F0CB0" w:rsidRDefault="00A217D4" w:rsidP="00720DDA">
      <w:pPr>
        <w:rPr>
          <w:i/>
          <w:lang w:val="fr-FR"/>
        </w:rPr>
      </w:pPr>
      <w:r w:rsidRPr="008F0CB0">
        <w:rPr>
          <w:i/>
          <w:lang w:val="fr-FR"/>
        </w:rPr>
        <w:t>La littérature scientifique identifie des situations et des publics plus spécifiquement vulnérables aux expulsions domiciliaires, parmi lesquelles :</w:t>
      </w:r>
      <w:r w:rsidR="004B7481" w:rsidRPr="008F0CB0">
        <w:rPr>
          <w:i/>
          <w:lang w:val="fr-FR"/>
        </w:rPr>
        <w:t xml:space="preserve"> </w:t>
      </w:r>
      <w:r w:rsidRPr="008F0CB0">
        <w:rPr>
          <w:i/>
          <w:lang w:val="fr-FR"/>
        </w:rPr>
        <w:t>les personnes souffrant de troubles de santé mentale avec problèmes d’assuétude, les situations de violences intrafamiliales, les personnes avec un passé carcéral ou dans l’aide à la jeunesse. Les services d’aide aux locataires expriment également l’omniprésence de la sou</w:t>
      </w:r>
      <w:r w:rsidR="007649B2">
        <w:rPr>
          <w:i/>
          <w:lang w:val="fr-FR"/>
        </w:rPr>
        <w:tab/>
      </w:r>
      <w:r w:rsidRPr="008F0CB0">
        <w:rPr>
          <w:i/>
          <w:lang w:val="fr-FR"/>
        </w:rPr>
        <w:t>ffrance psychique des personnes qu’ils accompagnent, plus spécialement la difficulté d’accompagner des personnes ayant des troubles psychiatriques avec des problèmes d’assuétudes.</w:t>
      </w:r>
    </w:p>
    <w:p w:rsidR="00A217D4" w:rsidRDefault="00A217D4" w:rsidP="00FF6DC3">
      <w:pPr>
        <w:keepNext/>
        <w:keepLines/>
        <w:rPr>
          <w:b/>
          <w:i/>
          <w:lang w:val="fr-FR"/>
        </w:rPr>
      </w:pPr>
      <w:r>
        <w:rPr>
          <w:b/>
          <w:i/>
          <w:lang w:val="fr-FR"/>
        </w:rPr>
        <w:lastRenderedPageBreak/>
        <w:t>Possibles parties prenantes</w:t>
      </w:r>
    </w:p>
    <w:p w:rsidR="00A217D4" w:rsidRDefault="00A217D4" w:rsidP="00720DDA">
      <w:pPr>
        <w:rPr>
          <w:i/>
          <w:lang w:val="fr-FR"/>
        </w:rPr>
      </w:pPr>
      <w:r w:rsidRPr="008F0CB0">
        <w:rPr>
          <w:i/>
          <w:lang w:val="fr-FR"/>
        </w:rPr>
        <w:t>Acteurs dans le secteur santé mentale, services d’aide aux locataires, services d’accompagnement des personnes ayant un passé carcéral, services spécialisés en matière de violence intrafamiliale, les services d’aides sociales des logements sociaux, les AIS.</w:t>
      </w:r>
    </w:p>
    <w:p w:rsidR="001D70D1" w:rsidRPr="008F0CB0" w:rsidRDefault="001D70D1" w:rsidP="00720DDA">
      <w:pPr>
        <w:rPr>
          <w:i/>
          <w:lang w:val="fr-FR"/>
        </w:rPr>
      </w:pPr>
      <w:r>
        <w:rPr>
          <w:i/>
          <w:lang w:val="fr-FR"/>
        </w:rPr>
        <w:t>Les actions initiées dans le cadre de cet objectif doivent pouvoir cibler aussi bien des habitants vivant dans des logements sociaux que dans des logements privés, par le biais de partenariats.</w:t>
      </w:r>
    </w:p>
    <w:p w:rsidR="00A217D4" w:rsidRDefault="0038421C" w:rsidP="005D33DE">
      <w:pPr>
        <w:pStyle w:val="Titre3"/>
        <w:shd w:val="clear" w:color="auto" w:fill="C5E0B3" w:themeFill="accent6" w:themeFillTint="66"/>
      </w:pPr>
      <w:r>
        <w:t xml:space="preserve"> (OO</w:t>
      </w:r>
      <w:r w:rsidR="00A217D4">
        <w:t>). Les profils de personne et les situations les plus à risques en matière d’expulsions domiciliaires sont identifiées et analysées.</w:t>
      </w:r>
    </w:p>
    <w:p w:rsidR="002E31DF" w:rsidRDefault="002E31DF" w:rsidP="00A217D4">
      <w:pPr>
        <w:rPr>
          <w:b/>
          <w:i/>
          <w:lang w:val="fr-FR"/>
        </w:rPr>
      </w:pPr>
      <w:r>
        <w:rPr>
          <w:b/>
          <w:i/>
          <w:lang w:val="fr-FR"/>
        </w:rPr>
        <w:t>Organisation porteuse</w:t>
      </w:r>
    </w:p>
    <w:p w:rsidR="002E31DF" w:rsidRPr="002E31DF" w:rsidRDefault="002E31DF" w:rsidP="00A217D4">
      <w:pPr>
        <w:rPr>
          <w:lang w:val="fr-FR"/>
        </w:rPr>
      </w:pPr>
      <w:r>
        <w:rPr>
          <w:lang w:val="fr-FR"/>
        </w:rPr>
        <w:t>Le CPAS portera la réalisation de cet objectif</w:t>
      </w:r>
      <w:r w:rsidR="00804AA8">
        <w:rPr>
          <w:lang w:val="fr-FR"/>
        </w:rPr>
        <w:t>, qui ne fera pas l’objet de l’appel à projet</w:t>
      </w:r>
      <w:r>
        <w:rPr>
          <w:lang w:val="fr-FR"/>
        </w:rPr>
        <w:t xml:space="preserve">. </w:t>
      </w:r>
    </w:p>
    <w:p w:rsidR="00A217D4" w:rsidRPr="00E418FC" w:rsidRDefault="00A217D4" w:rsidP="00A217D4">
      <w:pPr>
        <w:rPr>
          <w:b/>
          <w:i/>
          <w:lang w:val="fr-FR"/>
        </w:rPr>
      </w:pPr>
      <w:r w:rsidRPr="00E418FC">
        <w:rPr>
          <w:b/>
          <w:i/>
          <w:lang w:val="fr-FR"/>
        </w:rPr>
        <w:t xml:space="preserve">Actions </w:t>
      </w:r>
      <w:r>
        <w:rPr>
          <w:b/>
          <w:i/>
          <w:lang w:val="fr-FR"/>
        </w:rPr>
        <w:t>suggérées</w:t>
      </w:r>
      <w:r w:rsidRPr="00E418FC">
        <w:rPr>
          <w:b/>
          <w:i/>
          <w:lang w:val="fr-FR"/>
        </w:rPr>
        <w:t> :</w:t>
      </w:r>
    </w:p>
    <w:tbl>
      <w:tblPr>
        <w:tblStyle w:val="Grilledutableau"/>
        <w:tblW w:w="10485" w:type="dxa"/>
        <w:tblLayout w:type="fixed"/>
        <w:tblLook w:val="04A0" w:firstRow="1" w:lastRow="0" w:firstColumn="1" w:lastColumn="0" w:noHBand="0" w:noVBand="1"/>
      </w:tblPr>
      <w:tblGrid>
        <w:gridCol w:w="671"/>
        <w:gridCol w:w="9814"/>
      </w:tblGrid>
      <w:tr w:rsidR="00A217D4" w:rsidRPr="00045713" w:rsidTr="00653C0B">
        <w:trPr>
          <w:trHeight w:val="378"/>
        </w:trPr>
        <w:tc>
          <w:tcPr>
            <w:tcW w:w="671" w:type="dxa"/>
          </w:tcPr>
          <w:p w:rsidR="00A217D4" w:rsidRPr="001B6449" w:rsidRDefault="00A217D4" w:rsidP="00C72B8E">
            <w:pPr>
              <w:rPr>
                <w:b/>
                <w:lang w:val="fr-FR"/>
              </w:rPr>
            </w:pPr>
            <w:r>
              <w:rPr>
                <w:b/>
                <w:lang w:val="fr-FR"/>
              </w:rPr>
              <w:t>A1</w:t>
            </w:r>
          </w:p>
        </w:tc>
        <w:tc>
          <w:tcPr>
            <w:tcW w:w="9814" w:type="dxa"/>
          </w:tcPr>
          <w:p w:rsidR="00A217D4" w:rsidRPr="00045713" w:rsidRDefault="00A217D4" w:rsidP="00C72B8E">
            <w:pPr>
              <w:rPr>
                <w:lang w:val="fr-FR"/>
              </w:rPr>
            </w:pPr>
            <w:r>
              <w:rPr>
                <w:lang w:val="fr-FR"/>
              </w:rPr>
              <w:t>Une analyse des données existantes du service logement du CPAS permettra d’identifier les facteurs de risques mise en miroir avec la littérature et l’émergence éventuelle d’autres profils ou situation identifiés.</w:t>
            </w:r>
          </w:p>
        </w:tc>
      </w:tr>
      <w:tr w:rsidR="00A217D4" w:rsidRPr="00045713" w:rsidTr="00653C0B">
        <w:trPr>
          <w:trHeight w:val="398"/>
        </w:trPr>
        <w:tc>
          <w:tcPr>
            <w:tcW w:w="671" w:type="dxa"/>
          </w:tcPr>
          <w:p w:rsidR="00A217D4" w:rsidRPr="00CD042F" w:rsidRDefault="00A217D4" w:rsidP="00C72B8E">
            <w:pPr>
              <w:rPr>
                <w:b/>
                <w:lang w:val="fr-FR"/>
              </w:rPr>
            </w:pPr>
            <w:r w:rsidRPr="00CD042F">
              <w:rPr>
                <w:b/>
                <w:lang w:val="fr-FR"/>
              </w:rPr>
              <w:t>A2</w:t>
            </w:r>
          </w:p>
        </w:tc>
        <w:tc>
          <w:tcPr>
            <w:tcW w:w="9814" w:type="dxa"/>
          </w:tcPr>
          <w:p w:rsidR="00A217D4" w:rsidRPr="00045713" w:rsidRDefault="00A217D4" w:rsidP="00C72B8E">
            <w:pPr>
              <w:rPr>
                <w:lang w:val="fr-FR"/>
              </w:rPr>
            </w:pPr>
            <w:r>
              <w:rPr>
                <w:lang w:val="fr-FR"/>
              </w:rPr>
              <w:t>D</w:t>
            </w:r>
            <w:r w:rsidRPr="00CD042F">
              <w:rPr>
                <w:lang w:val="fr-FR"/>
              </w:rPr>
              <w:t xml:space="preserve">es initiatives </w:t>
            </w:r>
            <w:r>
              <w:rPr>
                <w:lang w:val="fr-FR"/>
              </w:rPr>
              <w:t xml:space="preserve">existantes </w:t>
            </w:r>
            <w:r w:rsidRPr="00CD042F">
              <w:rPr>
                <w:lang w:val="fr-FR"/>
              </w:rPr>
              <w:t xml:space="preserve">(en Belgique </w:t>
            </w:r>
            <w:r>
              <w:rPr>
                <w:lang w:val="fr-FR"/>
              </w:rPr>
              <w:t>et ailleurs) destinées à prévenir des expulsions domiciliaires de ces publics vulnérables et situations à risques sont identifiées et documentées.</w:t>
            </w:r>
          </w:p>
        </w:tc>
      </w:tr>
    </w:tbl>
    <w:p w:rsidR="00A217D4" w:rsidRDefault="00A217D4" w:rsidP="00A217D4">
      <w:pPr>
        <w:rPr>
          <w:lang w:val="fr-FR"/>
        </w:rPr>
      </w:pPr>
    </w:p>
    <w:p w:rsidR="00A217D4" w:rsidRDefault="0038421C" w:rsidP="005D33DE">
      <w:pPr>
        <w:pStyle w:val="Titre3"/>
        <w:shd w:val="clear" w:color="auto" w:fill="C5E0B3" w:themeFill="accent6" w:themeFillTint="66"/>
      </w:pPr>
      <w:r>
        <w:t>(OO</w:t>
      </w:r>
      <w:r w:rsidR="00A217D4">
        <w:t xml:space="preserve">). Les professionnels des </w:t>
      </w:r>
      <w:r w:rsidR="00A217D4" w:rsidRPr="00CD042F">
        <w:t xml:space="preserve">services </w:t>
      </w:r>
      <w:r w:rsidR="00A217D4">
        <w:t xml:space="preserve">d’aide aux </w:t>
      </w:r>
      <w:r w:rsidR="00A217D4" w:rsidRPr="00CD042F">
        <w:t xml:space="preserve">locataires et de </w:t>
      </w:r>
      <w:r w:rsidR="00A217D4">
        <w:t>services sociaux et de santé de première ligne établissent des collaborations pour assurer un encadrement et un suivi adapté et suffisant aux profils et situations qui ont été identifiées parmi leur public, avec une priorité pour les problématiques de santé mentale.</w:t>
      </w:r>
    </w:p>
    <w:p w:rsidR="00F3695F" w:rsidRDefault="00F3695F" w:rsidP="00A217D4">
      <w:pPr>
        <w:rPr>
          <w:b/>
          <w:i/>
          <w:lang w:val="fr-FR"/>
        </w:rPr>
      </w:pPr>
      <w:r>
        <w:rPr>
          <w:b/>
          <w:i/>
          <w:lang w:val="fr-FR"/>
        </w:rPr>
        <w:t>Organisation porteuse</w:t>
      </w:r>
    </w:p>
    <w:p w:rsidR="00F3695F" w:rsidRPr="006E6956" w:rsidRDefault="00F3695F" w:rsidP="00F3695F">
      <w:pPr>
        <w:rPr>
          <w:lang w:val="fr-FR"/>
        </w:rPr>
      </w:pPr>
      <w:r>
        <w:rPr>
          <w:lang w:val="fr-FR"/>
        </w:rPr>
        <w:t xml:space="preserve">Le CPAS portera </w:t>
      </w:r>
      <w:r w:rsidR="005737FC">
        <w:rPr>
          <w:lang w:val="fr-FR"/>
        </w:rPr>
        <w:t xml:space="preserve">partiellement la réalisation de cet objectif. </w:t>
      </w:r>
      <w:r w:rsidR="005737FC" w:rsidRPr="00404218">
        <w:rPr>
          <w:b/>
          <w:i/>
          <w:lang w:val="fr-FR"/>
        </w:rPr>
        <w:t>Un budget sera proposé dans l’enveloppe de l’appel à projet spécifiquement pour Anneessens avec une suggestion de l’action 3 décrite ci-dessous.</w:t>
      </w:r>
      <w:r w:rsidR="006E6956">
        <w:rPr>
          <w:b/>
          <w:lang w:val="fr-FR"/>
        </w:rPr>
        <w:t xml:space="preserve"> </w:t>
      </w:r>
    </w:p>
    <w:p w:rsidR="00A217D4" w:rsidRDefault="00A217D4" w:rsidP="00A217D4">
      <w:pPr>
        <w:rPr>
          <w:b/>
          <w:i/>
          <w:lang w:val="fr-FR"/>
        </w:rPr>
      </w:pPr>
      <w:r>
        <w:rPr>
          <w:b/>
          <w:i/>
          <w:lang w:val="fr-FR"/>
        </w:rPr>
        <w:t>Actions suggérées</w:t>
      </w:r>
    </w:p>
    <w:tbl>
      <w:tblPr>
        <w:tblStyle w:val="Grilledutableau"/>
        <w:tblW w:w="10485" w:type="dxa"/>
        <w:tblLayout w:type="fixed"/>
        <w:tblLook w:val="04A0" w:firstRow="1" w:lastRow="0" w:firstColumn="1" w:lastColumn="0" w:noHBand="0" w:noVBand="1"/>
      </w:tblPr>
      <w:tblGrid>
        <w:gridCol w:w="671"/>
        <w:gridCol w:w="9814"/>
      </w:tblGrid>
      <w:tr w:rsidR="00A217D4" w:rsidTr="00653C0B">
        <w:trPr>
          <w:trHeight w:val="378"/>
        </w:trPr>
        <w:tc>
          <w:tcPr>
            <w:tcW w:w="671" w:type="dxa"/>
          </w:tcPr>
          <w:p w:rsidR="00A217D4" w:rsidRPr="004C7C20" w:rsidRDefault="00A217D4" w:rsidP="00C72B8E">
            <w:pPr>
              <w:rPr>
                <w:b/>
                <w:lang w:val="fr-FR"/>
              </w:rPr>
            </w:pPr>
            <w:r w:rsidRPr="004C7C20">
              <w:rPr>
                <w:b/>
                <w:lang w:val="fr-FR"/>
              </w:rPr>
              <w:t>A1</w:t>
            </w:r>
          </w:p>
        </w:tc>
        <w:tc>
          <w:tcPr>
            <w:tcW w:w="9814" w:type="dxa"/>
          </w:tcPr>
          <w:p w:rsidR="00A217D4" w:rsidRDefault="00A217D4" w:rsidP="00C72B8E">
            <w:pPr>
              <w:rPr>
                <w:lang w:val="fr-FR"/>
              </w:rPr>
            </w:pPr>
            <w:r>
              <w:rPr>
                <w:lang w:val="fr-FR"/>
              </w:rPr>
              <w:t>Des rencontres sont organisées entre les secteurs concernés par ces publics et des services d’aide aux locataires, avec pour objectif : d’apprendre à se connaître (rôles, missions, moyens), identifier les difficultés de chacun, et d’élaborer des solutions communes.</w:t>
            </w:r>
          </w:p>
        </w:tc>
      </w:tr>
      <w:tr w:rsidR="00A217D4" w:rsidTr="00653C0B">
        <w:trPr>
          <w:trHeight w:val="378"/>
        </w:trPr>
        <w:tc>
          <w:tcPr>
            <w:tcW w:w="671" w:type="dxa"/>
          </w:tcPr>
          <w:p w:rsidR="00A217D4" w:rsidRPr="004C7C20" w:rsidRDefault="00A217D4" w:rsidP="00C72B8E">
            <w:pPr>
              <w:rPr>
                <w:b/>
                <w:lang w:val="fr-FR"/>
              </w:rPr>
            </w:pPr>
            <w:r>
              <w:rPr>
                <w:b/>
                <w:lang w:val="fr-FR"/>
              </w:rPr>
              <w:t>A2</w:t>
            </w:r>
          </w:p>
        </w:tc>
        <w:tc>
          <w:tcPr>
            <w:tcW w:w="9814" w:type="dxa"/>
          </w:tcPr>
          <w:p w:rsidR="00A217D4" w:rsidRDefault="00A217D4" w:rsidP="009167FE">
            <w:pPr>
              <w:rPr>
                <w:lang w:val="fr-FR"/>
              </w:rPr>
            </w:pPr>
            <w:r>
              <w:rPr>
                <w:lang w:val="fr-FR"/>
              </w:rPr>
              <w:t>Dans un deuxième temps, des séances d’intervision sont organisées entre ces services autour de situations concrètes pour coordonner leur action avec un intervenant de référence</w:t>
            </w:r>
            <w:r w:rsidR="009167FE">
              <w:rPr>
                <w:lang w:val="fr-FR"/>
              </w:rPr>
              <w:t xml:space="preserve"> par ménage aidé</w:t>
            </w:r>
            <w:r>
              <w:rPr>
                <w:lang w:val="fr-FR"/>
              </w:rPr>
              <w:t>. Ces séances priorisent trois publics (personne avec un passé carcéral, personne en état de souffrance psychique, et situations de violence intrafamiliale), à titre pilote.</w:t>
            </w:r>
          </w:p>
        </w:tc>
      </w:tr>
      <w:tr w:rsidR="00A217D4" w:rsidTr="00653C0B">
        <w:trPr>
          <w:trHeight w:val="378"/>
        </w:trPr>
        <w:tc>
          <w:tcPr>
            <w:tcW w:w="671" w:type="dxa"/>
          </w:tcPr>
          <w:p w:rsidR="00A217D4" w:rsidRPr="00CD042F" w:rsidRDefault="00A217D4" w:rsidP="00C72B8E">
            <w:pPr>
              <w:rPr>
                <w:b/>
                <w:lang w:val="fr-FR"/>
              </w:rPr>
            </w:pPr>
            <w:r>
              <w:rPr>
                <w:b/>
                <w:lang w:val="fr-FR"/>
              </w:rPr>
              <w:t>A3</w:t>
            </w:r>
          </w:p>
        </w:tc>
        <w:tc>
          <w:tcPr>
            <w:tcW w:w="9814" w:type="dxa"/>
          </w:tcPr>
          <w:p w:rsidR="00A217D4" w:rsidRDefault="005C76B1" w:rsidP="005C76B1">
            <w:pPr>
              <w:rPr>
                <w:lang w:val="fr-FR"/>
              </w:rPr>
            </w:pPr>
            <w:r>
              <w:rPr>
                <w:b/>
                <w:i/>
                <w:lang w:val="fr-FR"/>
              </w:rPr>
              <w:t xml:space="preserve">A Anneessens, </w:t>
            </w:r>
            <w:r w:rsidR="00A217D4">
              <w:rPr>
                <w:lang w:val="fr-FR"/>
              </w:rPr>
              <w:t xml:space="preserve">un dispositif </w:t>
            </w:r>
            <w:r w:rsidR="008D4DFA">
              <w:rPr>
                <w:lang w:val="fr-FR"/>
              </w:rPr>
              <w:t xml:space="preserve">d’information et d’accompagnement des personnes en situation </w:t>
            </w:r>
            <w:r w:rsidR="003C02D0">
              <w:rPr>
                <w:lang w:val="fr-FR"/>
              </w:rPr>
              <w:t xml:space="preserve">ou à risque </w:t>
            </w:r>
            <w:r w:rsidR="008D4DFA">
              <w:rPr>
                <w:lang w:val="fr-FR"/>
              </w:rPr>
              <w:t>de conflit locatif</w:t>
            </w:r>
            <w:r>
              <w:rPr>
                <w:lang w:val="fr-FR"/>
              </w:rPr>
              <w:t xml:space="preserve"> est mis en place</w:t>
            </w:r>
            <w:r w:rsidR="008D4DFA">
              <w:rPr>
                <w:lang w:val="fr-FR"/>
              </w:rPr>
              <w:t>, avec une spécificité pour les personnes particulièrement vulnérables identifiées dans les constats</w:t>
            </w:r>
            <w:r w:rsidR="00D85A09">
              <w:rPr>
                <w:lang w:val="fr-FR"/>
              </w:rPr>
              <w:t xml:space="preserve"> (</w:t>
            </w:r>
            <w:r w:rsidR="00670FF0">
              <w:rPr>
                <w:lang w:val="fr-FR"/>
              </w:rPr>
              <w:t xml:space="preserve">problèmes </w:t>
            </w:r>
            <w:r w:rsidR="007925D7">
              <w:rPr>
                <w:lang w:val="fr-FR"/>
              </w:rPr>
              <w:t>liés à la santé mentale)</w:t>
            </w:r>
          </w:p>
        </w:tc>
      </w:tr>
    </w:tbl>
    <w:p w:rsidR="006E6956" w:rsidRPr="006E6956" w:rsidRDefault="006E6956" w:rsidP="00A217D4">
      <w:pPr>
        <w:rPr>
          <w:lang w:val="fr-FR"/>
        </w:rPr>
      </w:pPr>
    </w:p>
    <w:p w:rsidR="001278F4" w:rsidRDefault="001278F4">
      <w:pPr>
        <w:rPr>
          <w:rFonts w:ascii="Times New Roman" w:hAnsi="Times New Roman" w:cs="Times New Roman"/>
          <w:b/>
          <w:sz w:val="24"/>
          <w:szCs w:val="24"/>
          <w:lang w:val="fr-FR"/>
        </w:rPr>
      </w:pPr>
      <w:r>
        <w:br w:type="page"/>
      </w:r>
    </w:p>
    <w:p w:rsidR="00A217D4" w:rsidRDefault="00A217D4" w:rsidP="00212FEB">
      <w:pPr>
        <w:pStyle w:val="Titre1"/>
        <w:shd w:val="clear" w:color="auto" w:fill="FFE599" w:themeFill="accent4" w:themeFillTint="66"/>
      </w:pPr>
      <w:r>
        <w:lastRenderedPageBreak/>
        <w:t xml:space="preserve">Objectif </w:t>
      </w:r>
      <w:r w:rsidRPr="00E418FC">
        <w:t>Général</w:t>
      </w:r>
      <w:r>
        <w:t> : Faciliter l’accès aux droits et aux services sociaux et de santé existants.</w:t>
      </w:r>
    </w:p>
    <w:p w:rsidR="00A217D4" w:rsidRPr="00A7736A" w:rsidRDefault="00A217D4" w:rsidP="00A217D4">
      <w:pPr>
        <w:rPr>
          <w:lang w:val="fr-FR"/>
        </w:rPr>
      </w:pPr>
      <w:r w:rsidRPr="00A7736A">
        <w:rPr>
          <w:lang w:val="fr-FR"/>
        </w:rPr>
        <w:t>L’</w:t>
      </w:r>
      <w:r>
        <w:rPr>
          <w:lang w:val="fr-FR"/>
        </w:rPr>
        <w:t>objectif général 2 répond à la deuxième priorité des CLSS concernant le recours aux services sociaux et de santé existants. La finalité est de renforcer des services existants dans leur capacité à réaliser leur mission en tenant compte des spécificités de certains publics, sans développer de nouve</w:t>
      </w:r>
      <w:r w:rsidR="00AA4C8D">
        <w:rPr>
          <w:lang w:val="fr-FR"/>
        </w:rPr>
        <w:t>lles institutions</w:t>
      </w:r>
      <w:r>
        <w:rPr>
          <w:lang w:val="fr-FR"/>
        </w:rPr>
        <w:t>.</w:t>
      </w:r>
    </w:p>
    <w:p w:rsidR="00A217D4" w:rsidRDefault="00A533CC" w:rsidP="00212FEB">
      <w:pPr>
        <w:pStyle w:val="Titre2"/>
        <w:shd w:val="clear" w:color="auto" w:fill="F7CAAC" w:themeFill="accent2" w:themeFillTint="66"/>
      </w:pPr>
      <w:r>
        <w:t>(OI</w:t>
      </w:r>
      <w:r w:rsidR="00A217D4">
        <w:t>). Les services sociaux et de santé seront en capacité de prendre en compte les besoins et les spécificités des publics vulnérables.</w:t>
      </w:r>
    </w:p>
    <w:p w:rsidR="00A217D4" w:rsidRDefault="00A217D4" w:rsidP="00A217D4">
      <w:pPr>
        <w:rPr>
          <w:b/>
          <w:i/>
          <w:lang w:val="fr-FR"/>
        </w:rPr>
      </w:pPr>
      <w:r>
        <w:rPr>
          <w:b/>
          <w:i/>
          <w:lang w:val="fr-FR"/>
        </w:rPr>
        <w:t>Constats fondant l’objectif</w:t>
      </w:r>
    </w:p>
    <w:p w:rsidR="00A217D4" w:rsidRDefault="00A217D4" w:rsidP="002E42AC">
      <w:pPr>
        <w:rPr>
          <w:i/>
        </w:rPr>
      </w:pPr>
      <w:r w:rsidRPr="008551FF">
        <w:rPr>
          <w:i/>
          <w:lang w:val="fr-FR"/>
        </w:rPr>
        <w:t>L</w:t>
      </w:r>
      <w:r w:rsidRPr="008551FF">
        <w:rPr>
          <w:i/>
        </w:rPr>
        <w:t xml:space="preserve">es publics </w:t>
      </w:r>
      <w:r w:rsidR="00A23880">
        <w:rPr>
          <w:i/>
        </w:rPr>
        <w:t>vulnérables</w:t>
      </w:r>
      <w:r w:rsidRPr="008551FF">
        <w:rPr>
          <w:i/>
        </w:rPr>
        <w:t xml:space="preserve"> expriment des besoins spécifiques </w:t>
      </w:r>
      <w:r w:rsidR="00836320">
        <w:rPr>
          <w:i/>
        </w:rPr>
        <w:t>qui nécessitent des réponses adaptées à ces spécificités</w:t>
      </w:r>
      <w:r w:rsidRPr="008551FF">
        <w:rPr>
          <w:i/>
        </w:rPr>
        <w:t>. Une grande partie du public demandent un suivi plus</w:t>
      </w:r>
      <w:r>
        <w:t xml:space="preserve"> </w:t>
      </w:r>
      <w:r w:rsidRPr="008551FF">
        <w:rPr>
          <w:i/>
        </w:rPr>
        <w:t>rapproché et le déplacement des intervenants sur leur lieu de vie (domicile). Les jeunes et les personnes en état de souffrance psychique favorisent les permanences anonymes et sans rendez-vous, les personnes âgées ou à mobilité réduite préfèrent les passages à domicile, etc. Les habitants préfèrent avoir un seul intervenant de référence, qui organise le relais de la demande vers un réseau structuré.</w:t>
      </w:r>
    </w:p>
    <w:p w:rsidR="00A217D4" w:rsidRDefault="00A217D4" w:rsidP="00A217D4">
      <w:pPr>
        <w:rPr>
          <w:b/>
          <w:i/>
        </w:rPr>
      </w:pPr>
      <w:r>
        <w:rPr>
          <w:b/>
          <w:i/>
        </w:rPr>
        <w:t>Possibles parties prenantes</w:t>
      </w:r>
    </w:p>
    <w:p w:rsidR="00A217D4" w:rsidRDefault="00A217D4" w:rsidP="00A217D4">
      <w:pPr>
        <w:rPr>
          <w:i/>
        </w:rPr>
      </w:pPr>
      <w:r>
        <w:rPr>
          <w:i/>
        </w:rPr>
        <w:t>Tout service s’adres</w:t>
      </w:r>
      <w:r w:rsidR="00063A71">
        <w:rPr>
          <w:i/>
        </w:rPr>
        <w:t>sant aux habitants du quartier.</w:t>
      </w:r>
    </w:p>
    <w:p w:rsidR="00A217D4" w:rsidRDefault="00A533CC" w:rsidP="00212FEB">
      <w:pPr>
        <w:pStyle w:val="Titre3"/>
        <w:shd w:val="clear" w:color="auto" w:fill="C5E0B3" w:themeFill="accent6" w:themeFillTint="66"/>
      </w:pPr>
      <w:r>
        <w:t>(OO</w:t>
      </w:r>
      <w:r w:rsidR="00A217D4">
        <w:t xml:space="preserve">). </w:t>
      </w:r>
      <w:r w:rsidR="00A217D4" w:rsidRPr="004B67AB">
        <w:t xml:space="preserve">Les professionnels du secteur social-santé seront en capacité de prendre en compte la souffrance psychique </w:t>
      </w:r>
      <w:r w:rsidR="00A217D4">
        <w:t xml:space="preserve">de leurs usagers </w:t>
      </w:r>
      <w:r w:rsidR="00A217D4" w:rsidRPr="004B67AB">
        <w:t>dans la réalisation de leur mission.</w:t>
      </w:r>
    </w:p>
    <w:p w:rsidR="00A217D4" w:rsidRDefault="00A217D4" w:rsidP="00A217D4">
      <w:pPr>
        <w:rPr>
          <w:b/>
          <w:i/>
          <w:lang w:val="fr-FR"/>
        </w:rPr>
      </w:pPr>
      <w:r>
        <w:rPr>
          <w:b/>
          <w:i/>
          <w:lang w:val="fr-FR"/>
        </w:rPr>
        <w:t>Actions suggérées :</w:t>
      </w:r>
    </w:p>
    <w:tbl>
      <w:tblPr>
        <w:tblStyle w:val="Grilledutableau"/>
        <w:tblW w:w="10485" w:type="dxa"/>
        <w:tblLook w:val="04A0" w:firstRow="1" w:lastRow="0" w:firstColumn="1" w:lastColumn="0" w:noHBand="0" w:noVBand="1"/>
      </w:tblPr>
      <w:tblGrid>
        <w:gridCol w:w="670"/>
        <w:gridCol w:w="9815"/>
      </w:tblGrid>
      <w:tr w:rsidR="00A217D4" w:rsidRPr="00045713" w:rsidTr="00653C0B">
        <w:trPr>
          <w:trHeight w:val="378"/>
        </w:trPr>
        <w:tc>
          <w:tcPr>
            <w:tcW w:w="670" w:type="dxa"/>
          </w:tcPr>
          <w:p w:rsidR="00A217D4" w:rsidRPr="001B6449" w:rsidRDefault="00A217D4" w:rsidP="00C72B8E">
            <w:pPr>
              <w:rPr>
                <w:b/>
                <w:lang w:val="fr-FR"/>
              </w:rPr>
            </w:pPr>
            <w:r>
              <w:rPr>
                <w:b/>
                <w:lang w:val="fr-FR"/>
              </w:rPr>
              <w:t>A1</w:t>
            </w:r>
          </w:p>
        </w:tc>
        <w:tc>
          <w:tcPr>
            <w:tcW w:w="9815" w:type="dxa"/>
          </w:tcPr>
          <w:p w:rsidR="00A217D4" w:rsidRPr="00045713" w:rsidRDefault="00A217D4" w:rsidP="00C72B8E">
            <w:pPr>
              <w:rPr>
                <w:lang w:val="fr-FR"/>
              </w:rPr>
            </w:pPr>
            <w:r>
              <w:rPr>
                <w:lang w:val="fr-FR"/>
              </w:rPr>
              <w:t>Des services sociaux et de santé identifient leurs besoins au travers de leur pratique pour un meilleur accompagnement de leur public en souffrance psychique, en collaboration avec des acteurs de la santé mentale.</w:t>
            </w:r>
          </w:p>
        </w:tc>
      </w:tr>
      <w:tr w:rsidR="00A217D4" w:rsidRPr="00FB7A85" w:rsidTr="00653C0B">
        <w:trPr>
          <w:trHeight w:val="398"/>
        </w:trPr>
        <w:tc>
          <w:tcPr>
            <w:tcW w:w="670" w:type="dxa"/>
          </w:tcPr>
          <w:p w:rsidR="00A217D4" w:rsidRPr="00CD042F" w:rsidRDefault="00A217D4" w:rsidP="00C72B8E">
            <w:pPr>
              <w:rPr>
                <w:b/>
                <w:lang w:val="fr-FR"/>
              </w:rPr>
            </w:pPr>
            <w:r w:rsidRPr="00CD042F">
              <w:rPr>
                <w:b/>
                <w:lang w:val="fr-FR"/>
              </w:rPr>
              <w:t>A2</w:t>
            </w:r>
          </w:p>
        </w:tc>
        <w:tc>
          <w:tcPr>
            <w:tcW w:w="9815" w:type="dxa"/>
          </w:tcPr>
          <w:p w:rsidR="00A217D4" w:rsidRPr="00FB7A85" w:rsidRDefault="00A217D4" w:rsidP="00156F63">
            <w:pPr>
              <w:rPr>
                <w:lang w:val="fr-FR"/>
              </w:rPr>
            </w:pPr>
            <w:r>
              <w:rPr>
                <w:lang w:val="fr-FR"/>
              </w:rPr>
              <w:t>Chaque service impliqué adapte son dispositif  en tenant compte de la souffrance psychique en collaboration avec des acteurs de la santé mentale</w:t>
            </w:r>
            <w:r w:rsidR="00156F63">
              <w:rPr>
                <w:lang w:val="fr-FR"/>
              </w:rPr>
              <w:t>, avec une réflexion sur la possibilité d’avoir un seul intervenant de référence par ménage</w:t>
            </w:r>
            <w:r>
              <w:rPr>
                <w:lang w:val="fr-FR"/>
              </w:rPr>
              <w:t>.</w:t>
            </w:r>
          </w:p>
        </w:tc>
      </w:tr>
    </w:tbl>
    <w:p w:rsidR="00A217D4" w:rsidRDefault="00A217D4" w:rsidP="00A217D4">
      <w:pPr>
        <w:rPr>
          <w:b/>
          <w:i/>
          <w:lang w:val="fr-FR"/>
        </w:rPr>
      </w:pPr>
    </w:p>
    <w:p w:rsidR="00A217D4" w:rsidRPr="006F7BF9" w:rsidRDefault="00A533CC" w:rsidP="00212FEB">
      <w:pPr>
        <w:pStyle w:val="Titre3"/>
        <w:shd w:val="clear" w:color="auto" w:fill="C5E0B3" w:themeFill="accent6" w:themeFillTint="66"/>
      </w:pPr>
      <w:r>
        <w:t>(OO</w:t>
      </w:r>
      <w:r w:rsidR="00A217D4">
        <w:t xml:space="preserve">). </w:t>
      </w:r>
      <w:r w:rsidR="00A217D4" w:rsidRPr="004B67AB">
        <w:t xml:space="preserve">Les jeunes de </w:t>
      </w:r>
      <w:r w:rsidR="00A217D4">
        <w:t>1</w:t>
      </w:r>
      <w:r w:rsidR="00051643">
        <w:t>2</w:t>
      </w:r>
      <w:r w:rsidR="00A217D4">
        <w:t xml:space="preserve"> à </w:t>
      </w:r>
      <w:r w:rsidR="00A217D4" w:rsidRPr="004B67AB">
        <w:t>25 ans en</w:t>
      </w:r>
      <w:r w:rsidR="00A217D4">
        <w:t xml:space="preserve"> état de</w:t>
      </w:r>
      <w:r w:rsidR="00A217D4" w:rsidRPr="004B67AB">
        <w:t xml:space="preserve"> souffrance psychique sont accueillis et orientés en fonction de leurs besoins spécifiques</w:t>
      </w:r>
      <w:r w:rsidR="00A217D4">
        <w:t>.</w:t>
      </w:r>
    </w:p>
    <w:p w:rsidR="00B02198" w:rsidRDefault="00B02198" w:rsidP="00A217D4">
      <w:pPr>
        <w:rPr>
          <w:b/>
          <w:i/>
          <w:lang w:val="fr-FR"/>
        </w:rPr>
      </w:pPr>
      <w:r>
        <w:rPr>
          <w:b/>
          <w:i/>
          <w:lang w:val="fr-FR"/>
        </w:rPr>
        <w:t>Organisation porteuse</w:t>
      </w:r>
    </w:p>
    <w:p w:rsidR="00B02198" w:rsidRPr="00B02198" w:rsidRDefault="00B02198" w:rsidP="00A217D4">
      <w:pPr>
        <w:rPr>
          <w:lang w:val="fr-FR"/>
        </w:rPr>
      </w:pPr>
      <w:r>
        <w:rPr>
          <w:lang w:val="fr-FR"/>
        </w:rPr>
        <w:t xml:space="preserve">Le CPAS </w:t>
      </w:r>
      <w:r w:rsidR="00920133">
        <w:rPr>
          <w:lang w:val="fr-FR"/>
        </w:rPr>
        <w:t xml:space="preserve">réalisera </w:t>
      </w:r>
      <w:r>
        <w:rPr>
          <w:lang w:val="fr-FR"/>
        </w:rPr>
        <w:t>l’action 2 décrite ci-dessous</w:t>
      </w:r>
      <w:r w:rsidR="00D831E8">
        <w:rPr>
          <w:lang w:val="fr-FR"/>
        </w:rPr>
        <w:t>, qui ne fera pas partie de l’appel à projets</w:t>
      </w:r>
      <w:r w:rsidR="00764BB9">
        <w:rPr>
          <w:lang w:val="fr-FR"/>
        </w:rPr>
        <w:tab/>
      </w:r>
      <w:r>
        <w:rPr>
          <w:lang w:val="fr-FR"/>
        </w:rPr>
        <w:t>.</w:t>
      </w:r>
    </w:p>
    <w:p w:rsidR="00A217D4" w:rsidRPr="0029776C" w:rsidRDefault="00A217D4" w:rsidP="00A217D4">
      <w:pPr>
        <w:rPr>
          <w:b/>
          <w:i/>
          <w:lang w:val="fr-FR"/>
        </w:rPr>
      </w:pPr>
      <w:r>
        <w:rPr>
          <w:b/>
          <w:i/>
          <w:lang w:val="fr-FR"/>
        </w:rPr>
        <w:t>Actions suggérées :</w:t>
      </w:r>
    </w:p>
    <w:tbl>
      <w:tblPr>
        <w:tblStyle w:val="Grilledutableau"/>
        <w:tblW w:w="10485" w:type="dxa"/>
        <w:tblLook w:val="04A0" w:firstRow="1" w:lastRow="0" w:firstColumn="1" w:lastColumn="0" w:noHBand="0" w:noVBand="1"/>
      </w:tblPr>
      <w:tblGrid>
        <w:gridCol w:w="670"/>
        <w:gridCol w:w="9815"/>
      </w:tblGrid>
      <w:tr w:rsidR="00A217D4" w:rsidTr="00653C0B">
        <w:trPr>
          <w:trHeight w:val="378"/>
        </w:trPr>
        <w:tc>
          <w:tcPr>
            <w:tcW w:w="670" w:type="dxa"/>
          </w:tcPr>
          <w:p w:rsidR="00A217D4" w:rsidRPr="004E7328" w:rsidRDefault="00A217D4" w:rsidP="00C72B8E">
            <w:pPr>
              <w:rPr>
                <w:b/>
                <w:lang w:val="fr-FR"/>
              </w:rPr>
            </w:pPr>
            <w:r w:rsidRPr="004E7328">
              <w:rPr>
                <w:b/>
                <w:lang w:val="fr-FR"/>
              </w:rPr>
              <w:t>A1</w:t>
            </w:r>
          </w:p>
        </w:tc>
        <w:tc>
          <w:tcPr>
            <w:tcW w:w="9815" w:type="dxa"/>
          </w:tcPr>
          <w:p w:rsidR="00A217D4" w:rsidRPr="004E7328" w:rsidRDefault="00A217D4" w:rsidP="005737FC">
            <w:pPr>
              <w:rPr>
                <w:lang w:val="fr-FR"/>
              </w:rPr>
            </w:pPr>
            <w:r w:rsidRPr="004E7328">
              <w:rPr>
                <w:b/>
                <w:i/>
                <w:lang w:val="fr-FR"/>
              </w:rPr>
              <w:t>Dans les Marolles,</w:t>
            </w:r>
            <w:r w:rsidRPr="004E7328">
              <w:rPr>
                <w:lang w:val="fr-FR"/>
              </w:rPr>
              <w:t xml:space="preserve"> les dispositifs d’accueil </w:t>
            </w:r>
            <w:r w:rsidR="005737FC">
              <w:rPr>
                <w:lang w:val="fr-FR"/>
              </w:rPr>
              <w:t xml:space="preserve"> de ce public </w:t>
            </w:r>
            <w:r w:rsidRPr="004E7328">
              <w:rPr>
                <w:lang w:val="fr-FR"/>
              </w:rPr>
              <w:t>sont renforcés.</w:t>
            </w:r>
          </w:p>
        </w:tc>
      </w:tr>
      <w:tr w:rsidR="00FB6AB8" w:rsidTr="00653C0B">
        <w:trPr>
          <w:trHeight w:val="378"/>
        </w:trPr>
        <w:tc>
          <w:tcPr>
            <w:tcW w:w="670" w:type="dxa"/>
          </w:tcPr>
          <w:p w:rsidR="00FB6AB8" w:rsidRPr="004E7328" w:rsidRDefault="00FB6AB8" w:rsidP="00C72B8E">
            <w:pPr>
              <w:rPr>
                <w:b/>
                <w:lang w:val="fr-FR"/>
              </w:rPr>
            </w:pPr>
            <w:r>
              <w:rPr>
                <w:b/>
                <w:lang w:val="fr-FR"/>
              </w:rPr>
              <w:t>A2</w:t>
            </w:r>
          </w:p>
        </w:tc>
        <w:tc>
          <w:tcPr>
            <w:tcW w:w="9815" w:type="dxa"/>
          </w:tcPr>
          <w:p w:rsidR="00B02198" w:rsidRPr="004E7328" w:rsidRDefault="00FB6AB8" w:rsidP="00B02198">
            <w:pPr>
              <w:rPr>
                <w:b/>
                <w:i/>
                <w:lang w:val="fr-FR"/>
              </w:rPr>
            </w:pPr>
            <w:r>
              <w:rPr>
                <w:b/>
                <w:i/>
                <w:lang w:val="fr-FR"/>
              </w:rPr>
              <w:t xml:space="preserve">A Anneessens, </w:t>
            </w:r>
            <w:r w:rsidRPr="000D79CB">
              <w:rPr>
                <w:rFonts w:eastAsia="Times New Roman" w:cs="Arial"/>
                <w:color w:val="000000"/>
                <w:szCs w:val="20"/>
                <w:lang w:eastAsia="fr-BE"/>
              </w:rPr>
              <w:t>Les services sociaux et de santé développent et implémentent une méthodologie d’outreach facilitant l’accès des MENA et ex-MENA aux services existants.</w:t>
            </w:r>
          </w:p>
        </w:tc>
      </w:tr>
    </w:tbl>
    <w:p w:rsidR="005737FC" w:rsidRDefault="005737FC" w:rsidP="00A217D4">
      <w:pPr>
        <w:rPr>
          <w:lang w:val="fr-FR"/>
        </w:rPr>
      </w:pPr>
    </w:p>
    <w:p w:rsidR="00A217D4" w:rsidRDefault="00A533CC" w:rsidP="00212FEB">
      <w:pPr>
        <w:pStyle w:val="Titre3"/>
        <w:shd w:val="clear" w:color="auto" w:fill="C5E0B3" w:themeFill="accent6" w:themeFillTint="66"/>
      </w:pPr>
      <w:r>
        <w:t>(OO</w:t>
      </w:r>
      <w:r w:rsidR="00A217D4">
        <w:t xml:space="preserve">). Les services sociaux et de santé </w:t>
      </w:r>
      <w:r w:rsidR="00BE17AE">
        <w:t>connaissent et quantifient les besoins des</w:t>
      </w:r>
      <w:r w:rsidR="00A217D4">
        <w:t xml:space="preserve"> personnes </w:t>
      </w:r>
      <w:r w:rsidR="00BE17AE">
        <w:t>sans</w:t>
      </w:r>
      <w:r w:rsidR="00A217D4">
        <w:t xml:space="preserve"> titre de séjour, dans le domaine social-santé</w:t>
      </w:r>
    </w:p>
    <w:p w:rsidR="00A217D4" w:rsidRDefault="00A217D4" w:rsidP="00A217D4">
      <w:pPr>
        <w:rPr>
          <w:b/>
          <w:i/>
          <w:lang w:val="fr-FR"/>
        </w:rPr>
      </w:pPr>
      <w:r>
        <w:rPr>
          <w:b/>
          <w:i/>
          <w:lang w:val="fr-FR"/>
        </w:rPr>
        <w:t>Actions suggérées :</w:t>
      </w:r>
    </w:p>
    <w:tbl>
      <w:tblPr>
        <w:tblStyle w:val="Grilledutableau"/>
        <w:tblW w:w="10485" w:type="dxa"/>
        <w:tblLook w:val="04A0" w:firstRow="1" w:lastRow="0" w:firstColumn="1" w:lastColumn="0" w:noHBand="0" w:noVBand="1"/>
      </w:tblPr>
      <w:tblGrid>
        <w:gridCol w:w="670"/>
        <w:gridCol w:w="9815"/>
      </w:tblGrid>
      <w:tr w:rsidR="00A217D4" w:rsidRPr="00FD3864" w:rsidTr="00653C0B">
        <w:trPr>
          <w:trHeight w:val="311"/>
        </w:trPr>
        <w:tc>
          <w:tcPr>
            <w:tcW w:w="670" w:type="dxa"/>
          </w:tcPr>
          <w:p w:rsidR="00A217D4" w:rsidRPr="004C7C20" w:rsidRDefault="00A217D4" w:rsidP="00C72B8E">
            <w:pPr>
              <w:rPr>
                <w:b/>
                <w:lang w:val="fr-FR"/>
              </w:rPr>
            </w:pPr>
            <w:r w:rsidRPr="004C7C20">
              <w:rPr>
                <w:b/>
                <w:lang w:val="fr-FR"/>
              </w:rPr>
              <w:t>A1</w:t>
            </w:r>
          </w:p>
        </w:tc>
        <w:tc>
          <w:tcPr>
            <w:tcW w:w="9815" w:type="dxa"/>
          </w:tcPr>
          <w:p w:rsidR="00A217D4" w:rsidRPr="00FD3864" w:rsidRDefault="00A217D4" w:rsidP="00223009">
            <w:r>
              <w:t xml:space="preserve">Un état des lieux </w:t>
            </w:r>
            <w:r w:rsidR="00223009">
              <w:t>des besoins en aide sociale et de sant</w:t>
            </w:r>
            <w:r w:rsidR="00635FEC">
              <w:t>é</w:t>
            </w:r>
            <w:r w:rsidR="00223009">
              <w:t xml:space="preserve"> des personnes sans titre de séjour e</w:t>
            </w:r>
            <w:r w:rsidR="00BE17AE">
              <w:t xml:space="preserve">st réalisé </w:t>
            </w:r>
            <w:r>
              <w:t>et partagé au sein d’une concertation.</w:t>
            </w:r>
          </w:p>
        </w:tc>
      </w:tr>
      <w:tr w:rsidR="00A217D4" w:rsidRPr="00F23293" w:rsidTr="00653C0B">
        <w:trPr>
          <w:trHeight w:val="378"/>
        </w:trPr>
        <w:tc>
          <w:tcPr>
            <w:tcW w:w="670" w:type="dxa"/>
          </w:tcPr>
          <w:p w:rsidR="00A217D4" w:rsidRDefault="00A217D4" w:rsidP="00C72B8E">
            <w:pPr>
              <w:rPr>
                <w:b/>
                <w:lang w:val="fr-FR"/>
              </w:rPr>
            </w:pPr>
            <w:r>
              <w:rPr>
                <w:b/>
                <w:lang w:val="fr-FR"/>
              </w:rPr>
              <w:lastRenderedPageBreak/>
              <w:t>A</w:t>
            </w:r>
            <w:r w:rsidR="00051643">
              <w:rPr>
                <w:b/>
                <w:lang w:val="fr-FR"/>
              </w:rPr>
              <w:t>2</w:t>
            </w:r>
          </w:p>
        </w:tc>
        <w:tc>
          <w:tcPr>
            <w:tcW w:w="9815" w:type="dxa"/>
          </w:tcPr>
          <w:p w:rsidR="00A217D4" w:rsidRPr="00F23293" w:rsidRDefault="00A217D4" w:rsidP="002839B1">
            <w:pPr>
              <w:rPr>
                <w:lang w:val="fr-FR"/>
              </w:rPr>
            </w:pPr>
            <w:r w:rsidRPr="00F23293">
              <w:rPr>
                <w:lang w:val="fr-FR"/>
              </w:rPr>
              <w:t xml:space="preserve">Les </w:t>
            </w:r>
            <w:r w:rsidR="002839B1">
              <w:rPr>
                <w:lang w:val="fr-FR"/>
              </w:rPr>
              <w:t>personnes</w:t>
            </w:r>
            <w:r w:rsidRPr="00F23293">
              <w:rPr>
                <w:lang w:val="fr-FR"/>
              </w:rPr>
              <w:t xml:space="preserve"> sans titre de séjour dispose</w:t>
            </w:r>
            <w:r w:rsidR="001278F4">
              <w:rPr>
                <w:lang w:val="fr-FR"/>
              </w:rPr>
              <w:t>nt</w:t>
            </w:r>
            <w:r w:rsidRPr="00F23293">
              <w:rPr>
                <w:lang w:val="fr-FR"/>
              </w:rPr>
              <w:t xml:space="preserve"> d’une fiche d’identité locale qui donne accès aux services partenaires du quartier. Exemple : accès à la bibliothèque, aux articles 27, aux centres culturels, aux services d’aide alimentaire, etc.</w:t>
            </w:r>
          </w:p>
        </w:tc>
      </w:tr>
    </w:tbl>
    <w:p w:rsidR="00293441" w:rsidRDefault="00293441" w:rsidP="00A217D4">
      <w:pPr>
        <w:rPr>
          <w:b/>
          <w:sz w:val="18"/>
          <w:lang w:val="fr-FR"/>
        </w:rPr>
      </w:pPr>
    </w:p>
    <w:p w:rsidR="00A217D4" w:rsidRDefault="00051643" w:rsidP="00212FEB">
      <w:pPr>
        <w:pStyle w:val="Titre2"/>
        <w:shd w:val="clear" w:color="auto" w:fill="F7CAAC" w:themeFill="accent2" w:themeFillTint="66"/>
      </w:pPr>
      <w:r>
        <w:t xml:space="preserve"> </w:t>
      </w:r>
      <w:r w:rsidR="00A533CC">
        <w:t>(OI</w:t>
      </w:r>
      <w:r w:rsidR="00A217D4">
        <w:t xml:space="preserve">). </w:t>
      </w:r>
      <w:r w:rsidR="001610D2">
        <w:rPr>
          <w:i/>
        </w:rPr>
        <w:t>80</w:t>
      </w:r>
      <w:r w:rsidR="001610D2" w:rsidRPr="00B158FA">
        <w:rPr>
          <w:i/>
        </w:rPr>
        <w:t xml:space="preserve"> </w:t>
      </w:r>
      <w:r w:rsidR="001610D2">
        <w:rPr>
          <w:i/>
        </w:rPr>
        <w:t>personnes</w:t>
      </w:r>
      <w:r w:rsidR="001610D2" w:rsidRPr="00B158FA">
        <w:rPr>
          <w:i/>
        </w:rPr>
        <w:t xml:space="preserve"> entre 16 et 35 ans trouvent une activité rémunérée et valorisante</w:t>
      </w:r>
      <w:r w:rsidR="00A217D4">
        <w:t>.</w:t>
      </w:r>
    </w:p>
    <w:p w:rsidR="00A217D4" w:rsidRDefault="00A217D4" w:rsidP="00A217D4">
      <w:pPr>
        <w:rPr>
          <w:b/>
          <w:i/>
          <w:lang w:val="fr-FR"/>
        </w:rPr>
      </w:pPr>
      <w:r>
        <w:rPr>
          <w:b/>
          <w:i/>
          <w:lang w:val="fr-FR"/>
        </w:rPr>
        <w:t>Constats fondant l’objectif</w:t>
      </w:r>
    </w:p>
    <w:p w:rsidR="00A217D4" w:rsidRDefault="00A217D4" w:rsidP="00A217D4">
      <w:pPr>
        <w:rPr>
          <w:i/>
        </w:rPr>
      </w:pPr>
      <w:r>
        <w:rPr>
          <w:i/>
        </w:rPr>
        <w:t xml:space="preserve">L’enquête qualitative montre une demande </w:t>
      </w:r>
      <w:r w:rsidR="00051643">
        <w:rPr>
          <w:i/>
        </w:rPr>
        <w:t xml:space="preserve">de reconnaissance passant par un </w:t>
      </w:r>
      <w:r>
        <w:rPr>
          <w:i/>
        </w:rPr>
        <w:t xml:space="preserve">revenu stable et </w:t>
      </w:r>
      <w:r w:rsidR="00051643">
        <w:rPr>
          <w:i/>
        </w:rPr>
        <w:t xml:space="preserve">une </w:t>
      </w:r>
      <w:r w:rsidR="001278F4">
        <w:rPr>
          <w:i/>
        </w:rPr>
        <w:t>véritable première expérience professionnelle valorisante</w:t>
      </w:r>
      <w:r w:rsidR="006518AF">
        <w:rPr>
          <w:i/>
        </w:rPr>
        <w:t xml:space="preserve"> et un salaire</w:t>
      </w:r>
      <w:r w:rsidR="001278F4">
        <w:rPr>
          <w:i/>
        </w:rPr>
        <w:t xml:space="preserve"> </w:t>
      </w:r>
      <w:r w:rsidR="00051643">
        <w:rPr>
          <w:i/>
        </w:rPr>
        <w:t>pour l</w:t>
      </w:r>
      <w:r>
        <w:rPr>
          <w:i/>
        </w:rPr>
        <w:t xml:space="preserve">es jeunes de moins de </w:t>
      </w:r>
      <w:r w:rsidR="00AA4C8D">
        <w:rPr>
          <w:i/>
        </w:rPr>
        <w:t>3</w:t>
      </w:r>
      <w:r>
        <w:rPr>
          <w:i/>
        </w:rPr>
        <w:t>5 ans.</w:t>
      </w:r>
      <w:r w:rsidR="00AA4C8D">
        <w:rPr>
          <w:i/>
        </w:rPr>
        <w:t xml:space="preserve"> Le passé carcéral de jeunes </w:t>
      </w:r>
      <w:r w:rsidR="006518AF">
        <w:rPr>
          <w:i/>
        </w:rPr>
        <w:t xml:space="preserve">crée des mécanismes de groupes et de l’insécurité qui semblent pouvoir être rencontrés par de la valorisation professionnelle et salariale. </w:t>
      </w:r>
    </w:p>
    <w:p w:rsidR="00390231" w:rsidRDefault="00390231" w:rsidP="00A158F3">
      <w:pPr>
        <w:keepNext/>
        <w:keepLines/>
        <w:rPr>
          <w:b/>
          <w:i/>
        </w:rPr>
      </w:pPr>
      <w:r>
        <w:rPr>
          <w:b/>
          <w:i/>
        </w:rPr>
        <w:t>Possibles parties prenantes</w:t>
      </w:r>
    </w:p>
    <w:p w:rsidR="00390231" w:rsidRDefault="00A158F3" w:rsidP="00A217D4">
      <w:pPr>
        <w:rPr>
          <w:i/>
        </w:rPr>
      </w:pPr>
      <w:r w:rsidRPr="00A3427B">
        <w:rPr>
          <w:i/>
        </w:rPr>
        <w:t xml:space="preserve">CPAS de Bruxelles, </w:t>
      </w:r>
      <w:r w:rsidR="00576BD3" w:rsidRPr="00A3427B">
        <w:rPr>
          <w:i/>
        </w:rPr>
        <w:t xml:space="preserve">Bravvo asbl, services </w:t>
      </w:r>
      <w:r w:rsidR="00FA4152" w:rsidRPr="00A3427B">
        <w:rPr>
          <w:i/>
        </w:rPr>
        <w:t xml:space="preserve">d’aide à </w:t>
      </w:r>
      <w:r w:rsidR="00576BD3" w:rsidRPr="00A3427B">
        <w:rPr>
          <w:i/>
        </w:rPr>
        <w:t>la jeunesse, maisons de quartier,</w:t>
      </w:r>
      <w:r w:rsidR="00FA4152" w:rsidRPr="00A3427B">
        <w:rPr>
          <w:i/>
        </w:rPr>
        <w:t xml:space="preserve"> écoles, AMO, maisons médicales, tout service en contact avec le public mentionné</w:t>
      </w:r>
      <w:r w:rsidR="00133BEC" w:rsidRPr="00A3427B">
        <w:rPr>
          <w:i/>
        </w:rPr>
        <w:t>.</w:t>
      </w:r>
    </w:p>
    <w:p w:rsidR="00AD0A97" w:rsidRDefault="00AD0A97" w:rsidP="00A217D4">
      <w:pPr>
        <w:rPr>
          <w:b/>
          <w:i/>
        </w:rPr>
      </w:pPr>
      <w:r>
        <w:rPr>
          <w:b/>
          <w:i/>
        </w:rPr>
        <w:t>Organisation porteuse</w:t>
      </w:r>
    </w:p>
    <w:p w:rsidR="00AD0A97" w:rsidRPr="00AD0A97" w:rsidRDefault="00AD0A97" w:rsidP="00A217D4">
      <w:r>
        <w:t>Le CPAS portera cet objectif en pilotant les partenariats et la concertation dès la première année</w:t>
      </w:r>
      <w:bookmarkStart w:id="0" w:name="_GoBack"/>
      <w:bookmarkEnd w:id="0"/>
      <w:r>
        <w:t>.</w:t>
      </w:r>
    </w:p>
    <w:p w:rsidR="007E26B1" w:rsidRDefault="00A533CC" w:rsidP="00E11D02">
      <w:pPr>
        <w:pStyle w:val="Titre3"/>
        <w:shd w:val="clear" w:color="auto" w:fill="C5E0B3" w:themeFill="accent6" w:themeFillTint="66"/>
      </w:pPr>
      <w:r>
        <w:t>(OO</w:t>
      </w:r>
      <w:r w:rsidR="007E26B1">
        <w:t>). 60 jeunes du quartier entre 16 et 35 ans trouvent une première activité rémunérée et valorisante.</w:t>
      </w:r>
    </w:p>
    <w:p w:rsidR="007E26B1" w:rsidRPr="0077576B" w:rsidRDefault="0077576B" w:rsidP="00A217D4">
      <w:pPr>
        <w:rPr>
          <w:b/>
          <w:i/>
        </w:rPr>
      </w:pPr>
      <w:r w:rsidRPr="0077576B">
        <w:rPr>
          <w:b/>
          <w:i/>
        </w:rPr>
        <w:t>Actions suggérées</w:t>
      </w:r>
    </w:p>
    <w:tbl>
      <w:tblPr>
        <w:tblStyle w:val="Grilledutableau"/>
        <w:tblW w:w="10485" w:type="dxa"/>
        <w:tblLook w:val="04A0" w:firstRow="1" w:lastRow="0" w:firstColumn="1" w:lastColumn="0" w:noHBand="0" w:noVBand="1"/>
      </w:tblPr>
      <w:tblGrid>
        <w:gridCol w:w="762"/>
        <w:gridCol w:w="9723"/>
      </w:tblGrid>
      <w:tr w:rsidR="00A217D4" w:rsidTr="001E1B31">
        <w:trPr>
          <w:trHeight w:val="653"/>
        </w:trPr>
        <w:tc>
          <w:tcPr>
            <w:tcW w:w="762" w:type="dxa"/>
          </w:tcPr>
          <w:p w:rsidR="00A217D4" w:rsidRPr="00C61E77" w:rsidRDefault="00A217D4" w:rsidP="00C72B8E">
            <w:pPr>
              <w:rPr>
                <w:b/>
                <w:lang w:val="fr-FR"/>
              </w:rPr>
            </w:pPr>
            <w:r>
              <w:rPr>
                <w:b/>
                <w:lang w:val="fr-FR"/>
              </w:rPr>
              <w:t>A1</w:t>
            </w:r>
          </w:p>
        </w:tc>
        <w:tc>
          <w:tcPr>
            <w:tcW w:w="9723" w:type="dxa"/>
          </w:tcPr>
          <w:p w:rsidR="00A217D4" w:rsidRDefault="0077576B" w:rsidP="00EA2BB2">
            <w:pPr>
              <w:rPr>
                <w:lang w:val="fr-FR"/>
              </w:rPr>
            </w:pPr>
            <w:r w:rsidRPr="00CD237B">
              <w:rPr>
                <w:lang w:val="fr-FR"/>
              </w:rPr>
              <w:t>Chaque année, une vingtaine de jeunes à stabiliser via reconnaissance et emploi sont identifiés par des services partenaires qui accompagnent des jeunes entre 16</w:t>
            </w:r>
            <w:r>
              <w:rPr>
                <w:lang w:val="fr-FR"/>
              </w:rPr>
              <w:t xml:space="preserve"> et 3</w:t>
            </w:r>
            <w:r w:rsidRPr="00CD237B">
              <w:rPr>
                <w:lang w:val="fr-FR"/>
              </w:rPr>
              <w:t>5 ans.</w:t>
            </w:r>
          </w:p>
        </w:tc>
      </w:tr>
      <w:tr w:rsidR="00A217D4" w:rsidTr="00653C0B">
        <w:trPr>
          <w:trHeight w:val="378"/>
        </w:trPr>
        <w:tc>
          <w:tcPr>
            <w:tcW w:w="762" w:type="dxa"/>
          </w:tcPr>
          <w:p w:rsidR="00A217D4" w:rsidRDefault="00A217D4" w:rsidP="00C72B8E">
            <w:pPr>
              <w:rPr>
                <w:b/>
                <w:lang w:val="fr-FR"/>
              </w:rPr>
            </w:pPr>
            <w:r>
              <w:rPr>
                <w:b/>
                <w:lang w:val="fr-FR"/>
              </w:rPr>
              <w:t>A2</w:t>
            </w:r>
          </w:p>
        </w:tc>
        <w:tc>
          <w:tcPr>
            <w:tcW w:w="9723" w:type="dxa"/>
          </w:tcPr>
          <w:p w:rsidR="00A217D4" w:rsidRPr="0077576B" w:rsidRDefault="0077576B" w:rsidP="0077576B">
            <w:r>
              <w:rPr>
                <w:lang w:val="fr-FR"/>
              </w:rPr>
              <w:t>Des concertations intersectorielles sont organisées dans le but d’établir un engagement sur le parcours des jeunes vers l’emploi, avec l’ensemble des organisations qui les accompagnent dans leur parcours.</w:t>
            </w:r>
          </w:p>
        </w:tc>
      </w:tr>
      <w:tr w:rsidR="0077576B" w:rsidTr="0077576B">
        <w:trPr>
          <w:trHeight w:val="378"/>
        </w:trPr>
        <w:tc>
          <w:tcPr>
            <w:tcW w:w="762" w:type="dxa"/>
          </w:tcPr>
          <w:p w:rsidR="0077576B" w:rsidRDefault="0077576B" w:rsidP="001E1B31">
            <w:pPr>
              <w:rPr>
                <w:b/>
                <w:lang w:val="fr-FR"/>
              </w:rPr>
            </w:pPr>
            <w:r>
              <w:rPr>
                <w:b/>
                <w:lang w:val="fr-FR"/>
              </w:rPr>
              <w:t>A3</w:t>
            </w:r>
          </w:p>
        </w:tc>
        <w:tc>
          <w:tcPr>
            <w:tcW w:w="9723" w:type="dxa"/>
          </w:tcPr>
          <w:p w:rsidR="0077576B" w:rsidRPr="0077576B" w:rsidRDefault="00390231" w:rsidP="00390231">
            <w:r>
              <w:rPr>
                <w:lang w:val="fr-FR"/>
              </w:rPr>
              <w:t xml:space="preserve">Une stratégie concertée entre ces acteurs est élaborée et implémentée pour adapter les </w:t>
            </w:r>
            <w:r w:rsidR="00421A88">
              <w:rPr>
                <w:lang w:val="fr-FR"/>
              </w:rPr>
              <w:t xml:space="preserve">politiques d’emploi </w:t>
            </w:r>
            <w:r w:rsidR="00941247">
              <w:rPr>
                <w:lang w:val="fr-FR"/>
              </w:rPr>
              <w:t xml:space="preserve">et d’accompagnement </w:t>
            </w:r>
            <w:r w:rsidR="00A65C3E">
              <w:rPr>
                <w:lang w:val="fr-FR"/>
              </w:rPr>
              <w:t>à ce public spécifique.</w:t>
            </w:r>
          </w:p>
        </w:tc>
      </w:tr>
    </w:tbl>
    <w:p w:rsidR="00421A88" w:rsidRDefault="00A533CC" w:rsidP="00E11D02">
      <w:pPr>
        <w:pStyle w:val="Titre3"/>
        <w:shd w:val="clear" w:color="auto" w:fill="C5E0B3" w:themeFill="accent6" w:themeFillTint="66"/>
      </w:pPr>
      <w:r>
        <w:t>(OO</w:t>
      </w:r>
      <w:r w:rsidR="00421A88">
        <w:t xml:space="preserve">). 20 </w:t>
      </w:r>
      <w:r w:rsidR="00DD7C92">
        <w:t>personnes</w:t>
      </w:r>
      <w:r w:rsidR="00421A88">
        <w:t xml:space="preserve"> entre 25 et 35 ans disposant d’un casier judiciaire</w:t>
      </w:r>
      <w:r w:rsidR="001E1B31">
        <w:t xml:space="preserve"> sévère</w:t>
      </w:r>
      <w:r w:rsidR="00421A88">
        <w:t xml:space="preserve"> ont un parcours d’emploi stabilisé et valorisant.</w:t>
      </w:r>
    </w:p>
    <w:p w:rsidR="0077576B" w:rsidRDefault="00DD7C92" w:rsidP="0077576B">
      <w:pPr>
        <w:rPr>
          <w:b/>
          <w:i/>
        </w:rPr>
      </w:pPr>
      <w:r>
        <w:rPr>
          <w:b/>
          <w:i/>
        </w:rPr>
        <w:t>Actions suggérées</w:t>
      </w:r>
    </w:p>
    <w:tbl>
      <w:tblPr>
        <w:tblStyle w:val="Grilledutableau"/>
        <w:tblW w:w="10485" w:type="dxa"/>
        <w:tblLook w:val="04A0" w:firstRow="1" w:lastRow="0" w:firstColumn="1" w:lastColumn="0" w:noHBand="0" w:noVBand="1"/>
      </w:tblPr>
      <w:tblGrid>
        <w:gridCol w:w="762"/>
        <w:gridCol w:w="9723"/>
      </w:tblGrid>
      <w:tr w:rsidR="00DD7C92" w:rsidTr="001E1B31">
        <w:trPr>
          <w:trHeight w:val="378"/>
        </w:trPr>
        <w:tc>
          <w:tcPr>
            <w:tcW w:w="762" w:type="dxa"/>
          </w:tcPr>
          <w:p w:rsidR="00DD7C92" w:rsidRPr="00C61E77" w:rsidRDefault="00DD7C92" w:rsidP="001E1B31">
            <w:pPr>
              <w:rPr>
                <w:b/>
                <w:lang w:val="fr-FR"/>
              </w:rPr>
            </w:pPr>
            <w:r>
              <w:rPr>
                <w:b/>
                <w:lang w:val="fr-FR"/>
              </w:rPr>
              <w:t>A1</w:t>
            </w:r>
          </w:p>
        </w:tc>
        <w:tc>
          <w:tcPr>
            <w:tcW w:w="9723" w:type="dxa"/>
          </w:tcPr>
          <w:p w:rsidR="00DD7C92" w:rsidRDefault="00DD7C92" w:rsidP="001E1B31">
            <w:pPr>
              <w:rPr>
                <w:lang w:val="fr-FR"/>
              </w:rPr>
            </w:pPr>
            <w:r>
              <w:rPr>
                <w:lang w:val="fr-FR"/>
              </w:rPr>
              <w:t xml:space="preserve">20 </w:t>
            </w:r>
            <w:r w:rsidRPr="00CD237B">
              <w:rPr>
                <w:lang w:val="fr-FR"/>
              </w:rPr>
              <w:t xml:space="preserve">jeunes </w:t>
            </w:r>
            <w:r w:rsidR="00235637">
              <w:rPr>
                <w:lang w:val="fr-FR"/>
              </w:rPr>
              <w:t xml:space="preserve">disposant d’un casier judiciaire </w:t>
            </w:r>
            <w:r w:rsidRPr="00CD237B">
              <w:rPr>
                <w:lang w:val="fr-FR"/>
              </w:rPr>
              <w:t>à stabiliser via reconnaissance et emploi sont identifiés par des services partenaires qui accompagnent des jeunes entre 16</w:t>
            </w:r>
            <w:r>
              <w:rPr>
                <w:lang w:val="fr-FR"/>
              </w:rPr>
              <w:t xml:space="preserve"> et 3</w:t>
            </w:r>
            <w:r w:rsidRPr="00CD237B">
              <w:rPr>
                <w:lang w:val="fr-FR"/>
              </w:rPr>
              <w:t>5 ans.</w:t>
            </w:r>
          </w:p>
        </w:tc>
      </w:tr>
      <w:tr w:rsidR="00DD7C92" w:rsidRPr="0077576B" w:rsidTr="001E1B31">
        <w:trPr>
          <w:trHeight w:val="378"/>
        </w:trPr>
        <w:tc>
          <w:tcPr>
            <w:tcW w:w="762" w:type="dxa"/>
          </w:tcPr>
          <w:p w:rsidR="00DD7C92" w:rsidRDefault="00DD7C92" w:rsidP="001E1B31">
            <w:pPr>
              <w:rPr>
                <w:b/>
                <w:lang w:val="fr-FR"/>
              </w:rPr>
            </w:pPr>
            <w:r>
              <w:rPr>
                <w:b/>
                <w:lang w:val="fr-FR"/>
              </w:rPr>
              <w:t>A2</w:t>
            </w:r>
          </w:p>
        </w:tc>
        <w:tc>
          <w:tcPr>
            <w:tcW w:w="9723" w:type="dxa"/>
          </w:tcPr>
          <w:p w:rsidR="00DD7C92" w:rsidRPr="0077576B" w:rsidRDefault="00DD7C92" w:rsidP="001E1B31">
            <w:r>
              <w:rPr>
                <w:lang w:val="fr-FR"/>
              </w:rPr>
              <w:t>Des concertations intersectorielles sont organisées dans le but d’établir un engagement sur le parcours des jeunes vers l’emploi, avec l’ensemble des organisations qui les accompagnent dans leur parcours.</w:t>
            </w:r>
          </w:p>
        </w:tc>
      </w:tr>
      <w:tr w:rsidR="00DD7C92" w:rsidRPr="0077576B" w:rsidTr="001E1B31">
        <w:trPr>
          <w:trHeight w:val="378"/>
        </w:trPr>
        <w:tc>
          <w:tcPr>
            <w:tcW w:w="762" w:type="dxa"/>
          </w:tcPr>
          <w:p w:rsidR="00DD7C92" w:rsidRDefault="00DD7C92" w:rsidP="001E1B31">
            <w:pPr>
              <w:rPr>
                <w:b/>
                <w:lang w:val="fr-FR"/>
              </w:rPr>
            </w:pPr>
            <w:r>
              <w:rPr>
                <w:b/>
                <w:lang w:val="fr-FR"/>
              </w:rPr>
              <w:t>A3</w:t>
            </w:r>
          </w:p>
        </w:tc>
        <w:tc>
          <w:tcPr>
            <w:tcW w:w="9723" w:type="dxa"/>
          </w:tcPr>
          <w:p w:rsidR="00DD7C92" w:rsidRPr="0077576B" w:rsidRDefault="00BF4D2E" w:rsidP="001E1B31">
            <w:r>
              <w:rPr>
                <w:lang w:val="fr-FR"/>
              </w:rPr>
              <w:t>Une stratégie concertée entre ces acteurs est élaborée et implémentée pour adapter les politiques d’emploi et d’accompagnement à ce public spécifique.</w:t>
            </w:r>
          </w:p>
        </w:tc>
      </w:tr>
    </w:tbl>
    <w:p w:rsidR="00C047B3" w:rsidRDefault="00C047B3" w:rsidP="00293441">
      <w:r>
        <w:br w:type="page"/>
      </w:r>
    </w:p>
    <w:p w:rsidR="00A217D4" w:rsidRDefault="00A217D4" w:rsidP="001B4E47">
      <w:pPr>
        <w:pStyle w:val="Titre1"/>
        <w:shd w:val="clear" w:color="auto" w:fill="BDD6EE" w:themeFill="accent1" w:themeFillTint="66"/>
      </w:pPr>
      <w:r>
        <w:lastRenderedPageBreak/>
        <w:t xml:space="preserve">Objectif transversal 1 : </w:t>
      </w:r>
      <w:r w:rsidR="00566092" w:rsidRPr="000E7C87">
        <w:t xml:space="preserve">Les </w:t>
      </w:r>
      <w:r w:rsidR="00566092">
        <w:t>CLSS se développent selon l’approche communautaire</w:t>
      </w:r>
    </w:p>
    <w:p w:rsidR="00A217D4" w:rsidRPr="00D04A09" w:rsidRDefault="00D04A09" w:rsidP="00A217D4">
      <w:pPr>
        <w:rPr>
          <w:i/>
        </w:rPr>
      </w:pPr>
      <w:r w:rsidRPr="00D04A09">
        <w:rPr>
          <w:i/>
        </w:rPr>
        <w:t xml:space="preserve">Constat : </w:t>
      </w:r>
      <w:r w:rsidR="0018396B" w:rsidRPr="00D04A09">
        <w:rPr>
          <w:i/>
        </w:rPr>
        <w:t>L’action communautaire en santé est une méthodologie validée en matière d’atteinte des objectifs en promotion de la santé</w:t>
      </w:r>
      <w:r w:rsidRPr="00D04A09">
        <w:rPr>
          <w:i/>
        </w:rPr>
        <w:t>, et inclut la participation des parties prenantes dans l’ensemble du processus (diagnostic, planification, réalisation, évaluation).</w:t>
      </w:r>
    </w:p>
    <w:p w:rsidR="00A217D4" w:rsidRPr="00851566" w:rsidRDefault="00A15B77" w:rsidP="00FF7868">
      <w:pPr>
        <w:pStyle w:val="Titre2"/>
        <w:shd w:val="clear" w:color="auto" w:fill="F7CAAC" w:themeFill="accent2" w:themeFillTint="66"/>
      </w:pPr>
      <w:r>
        <w:t>(OI</w:t>
      </w:r>
      <w:r w:rsidR="00A217D4">
        <w:t>). Les habitants intègrent le groupe de travail CLSS et y participent activement.</w:t>
      </w:r>
    </w:p>
    <w:p w:rsidR="00AD0A97" w:rsidRPr="00AD0A97" w:rsidRDefault="00AD0A97" w:rsidP="00A217D4">
      <w:pPr>
        <w:rPr>
          <w:b/>
          <w:i/>
          <w:lang w:val="fr-FR"/>
        </w:rPr>
      </w:pPr>
      <w:r w:rsidRPr="00AD0A97">
        <w:rPr>
          <w:b/>
          <w:i/>
          <w:lang w:val="fr-FR"/>
        </w:rPr>
        <w:t>Constats fondant l’objectif</w:t>
      </w:r>
    </w:p>
    <w:p w:rsidR="00A217D4" w:rsidRDefault="00A217D4" w:rsidP="00A217D4">
      <w:pPr>
        <w:rPr>
          <w:i/>
          <w:lang w:val="fr-FR"/>
        </w:rPr>
      </w:pPr>
      <w:r>
        <w:rPr>
          <w:i/>
          <w:lang w:val="fr-FR"/>
        </w:rPr>
        <w:t>Certains habitants expriment la nécessité de créer des espaces de concertation et de participation dans les dispositifs du social et du santé du quartier. Les expériences antérieures montrent que la participation des habitants dans des groupes impliquant des professionnels nécessitent un accompagnement et des protocoles particuliers.</w:t>
      </w:r>
    </w:p>
    <w:p w:rsidR="00A217D4" w:rsidRDefault="009C6A85" w:rsidP="00FF7868">
      <w:pPr>
        <w:pStyle w:val="Titre3"/>
        <w:shd w:val="clear" w:color="auto" w:fill="C5E0B3" w:themeFill="accent6" w:themeFillTint="66"/>
      </w:pPr>
      <w:r>
        <w:t xml:space="preserve">(OO). </w:t>
      </w:r>
      <w:r w:rsidR="00683539">
        <w:t xml:space="preserve">Les GT CLSS s’appuient sur la méthodologie d’approche communautaire et sont pilotés </w:t>
      </w:r>
      <w:r w:rsidR="00D728F2">
        <w:t>avec une dimension participative qui inclut les habitants</w:t>
      </w:r>
      <w:r w:rsidR="00683539">
        <w:t xml:space="preserve"> </w:t>
      </w:r>
    </w:p>
    <w:p w:rsidR="00A217D4" w:rsidRDefault="00A217D4" w:rsidP="00A217D4">
      <w:pPr>
        <w:rPr>
          <w:b/>
          <w:i/>
        </w:rPr>
      </w:pPr>
      <w:r>
        <w:rPr>
          <w:b/>
          <w:i/>
        </w:rPr>
        <w:t>Actions suggérées :</w:t>
      </w:r>
    </w:p>
    <w:tbl>
      <w:tblPr>
        <w:tblStyle w:val="Grilledutableau"/>
        <w:tblW w:w="10485" w:type="dxa"/>
        <w:tblLook w:val="04A0" w:firstRow="1" w:lastRow="0" w:firstColumn="1" w:lastColumn="0" w:noHBand="0" w:noVBand="1"/>
      </w:tblPr>
      <w:tblGrid>
        <w:gridCol w:w="669"/>
        <w:gridCol w:w="9816"/>
      </w:tblGrid>
      <w:tr w:rsidR="00A217D4" w:rsidRPr="002C50AF" w:rsidTr="00653C0B">
        <w:trPr>
          <w:trHeight w:val="490"/>
        </w:trPr>
        <w:tc>
          <w:tcPr>
            <w:tcW w:w="669" w:type="dxa"/>
          </w:tcPr>
          <w:p w:rsidR="00A217D4" w:rsidRPr="00CF759D" w:rsidRDefault="00A217D4" w:rsidP="00C72B8E">
            <w:pPr>
              <w:rPr>
                <w:b/>
                <w:lang w:val="fr-FR"/>
              </w:rPr>
            </w:pPr>
            <w:r>
              <w:rPr>
                <w:b/>
                <w:lang w:val="fr-FR"/>
              </w:rPr>
              <w:t>A1</w:t>
            </w:r>
          </w:p>
        </w:tc>
        <w:tc>
          <w:tcPr>
            <w:tcW w:w="9816" w:type="dxa"/>
          </w:tcPr>
          <w:p w:rsidR="00A217D4" w:rsidRPr="002C50AF" w:rsidRDefault="00A217D4" w:rsidP="00C72B8E">
            <w:pPr>
              <w:rPr>
                <w:lang w:val="fr-FR"/>
              </w:rPr>
            </w:pPr>
            <w:r>
              <w:rPr>
                <w:lang w:val="fr-FR"/>
              </w:rPr>
              <w:t>Les associations porteuses des projets participent au groupe de travail dans le but de contribuer à l’évaluation du processus et développer le travail communautaire.</w:t>
            </w:r>
          </w:p>
        </w:tc>
      </w:tr>
      <w:tr w:rsidR="00A217D4" w:rsidRPr="00490247" w:rsidTr="006518AF">
        <w:trPr>
          <w:trHeight w:val="559"/>
        </w:trPr>
        <w:tc>
          <w:tcPr>
            <w:tcW w:w="669" w:type="dxa"/>
          </w:tcPr>
          <w:p w:rsidR="00A217D4" w:rsidRPr="000900D1" w:rsidRDefault="00C70859" w:rsidP="00C72B8E">
            <w:pPr>
              <w:rPr>
                <w:b/>
                <w:lang w:val="fr-FR"/>
              </w:rPr>
            </w:pPr>
            <w:r>
              <w:rPr>
                <w:b/>
                <w:lang w:val="fr-FR"/>
              </w:rPr>
              <w:t>A2</w:t>
            </w:r>
          </w:p>
        </w:tc>
        <w:tc>
          <w:tcPr>
            <w:tcW w:w="9816" w:type="dxa"/>
          </w:tcPr>
          <w:p w:rsidR="00A217D4" w:rsidRPr="00490247" w:rsidRDefault="00A217D4" w:rsidP="00081BDB">
            <w:r w:rsidRPr="00BF050F">
              <w:rPr>
                <w:lang w:val="fr-FR"/>
              </w:rPr>
              <w:t xml:space="preserve">Une méthode d'accompagnement </w:t>
            </w:r>
            <w:r w:rsidR="00EE537C">
              <w:rPr>
                <w:lang w:val="fr-FR"/>
              </w:rPr>
              <w:t xml:space="preserve">à la participation des usagers des services est </w:t>
            </w:r>
            <w:r w:rsidR="00081BDB">
              <w:rPr>
                <w:lang w:val="fr-FR"/>
              </w:rPr>
              <w:t xml:space="preserve">formalisée, </w:t>
            </w:r>
            <w:r>
              <w:rPr>
                <w:lang w:val="fr-FR"/>
              </w:rPr>
              <w:t xml:space="preserve">validée </w:t>
            </w:r>
            <w:r w:rsidR="00081BDB">
              <w:rPr>
                <w:lang w:val="fr-FR"/>
              </w:rPr>
              <w:t xml:space="preserve">et implémentée </w:t>
            </w:r>
            <w:r>
              <w:rPr>
                <w:lang w:val="fr-FR"/>
              </w:rPr>
              <w:t>par les membres du groupe de travail afin de fa</w:t>
            </w:r>
            <w:r w:rsidR="00EE537C">
              <w:rPr>
                <w:lang w:val="fr-FR"/>
              </w:rPr>
              <w:t>voriser la participation de toutes les parties prenantes</w:t>
            </w:r>
            <w:r>
              <w:rPr>
                <w:lang w:val="fr-FR"/>
              </w:rPr>
              <w:t>.</w:t>
            </w:r>
          </w:p>
        </w:tc>
      </w:tr>
      <w:tr w:rsidR="00A217D4" w:rsidRPr="00490247" w:rsidTr="000D79CB">
        <w:trPr>
          <w:trHeight w:val="284"/>
        </w:trPr>
        <w:tc>
          <w:tcPr>
            <w:tcW w:w="669" w:type="dxa"/>
          </w:tcPr>
          <w:p w:rsidR="00A217D4" w:rsidRDefault="00C70859" w:rsidP="00C72B8E">
            <w:pPr>
              <w:rPr>
                <w:b/>
                <w:lang w:val="fr-FR"/>
              </w:rPr>
            </w:pPr>
            <w:r>
              <w:rPr>
                <w:b/>
                <w:lang w:val="fr-FR"/>
              </w:rPr>
              <w:t>A4</w:t>
            </w:r>
          </w:p>
        </w:tc>
        <w:tc>
          <w:tcPr>
            <w:tcW w:w="9816" w:type="dxa"/>
          </w:tcPr>
          <w:p w:rsidR="00A217D4" w:rsidRPr="00490247" w:rsidRDefault="00A217D4" w:rsidP="00C70859">
            <w:r>
              <w:t xml:space="preserve">Les </w:t>
            </w:r>
            <w:r w:rsidR="00C70859">
              <w:t xml:space="preserve">membres du </w:t>
            </w:r>
            <w:r>
              <w:t>groupe de travail informent et mobilisent dans le quarti</w:t>
            </w:r>
            <w:r w:rsidR="00C70859">
              <w:t>er sur les actions par les CLSS.</w:t>
            </w:r>
          </w:p>
        </w:tc>
      </w:tr>
    </w:tbl>
    <w:p w:rsidR="00A217D4" w:rsidRDefault="00A217D4" w:rsidP="00A217D4">
      <w:pPr>
        <w:rPr>
          <w:b/>
          <w:i/>
        </w:rPr>
      </w:pPr>
    </w:p>
    <w:p w:rsidR="00A217D4" w:rsidRDefault="00A217D4" w:rsidP="001B4E47">
      <w:pPr>
        <w:pStyle w:val="Titre1"/>
        <w:shd w:val="clear" w:color="auto" w:fill="BDD6EE" w:themeFill="accent1" w:themeFillTint="66"/>
      </w:pPr>
      <w:r>
        <w:t>Objectif transversal 2 :</w:t>
      </w:r>
      <w:r w:rsidRPr="009756A4">
        <w:t xml:space="preserve"> </w:t>
      </w:r>
      <w:r w:rsidR="007162E4" w:rsidRPr="00315AA7">
        <w:t>L</w:t>
      </w:r>
      <w:r w:rsidR="007162E4">
        <w:t>es services au public assurent un accueil et un suivi des demandes de leurs usagers en respect de leurs besoins, de leurs attentes et de leur dignité.</w:t>
      </w:r>
    </w:p>
    <w:p w:rsidR="00A217D4" w:rsidRDefault="00A217D4" w:rsidP="004A6478">
      <w:pPr>
        <w:rPr>
          <w:i/>
        </w:rPr>
      </w:pPr>
      <w:r>
        <w:rPr>
          <w:i/>
          <w:lang w:val="fr-FR"/>
        </w:rPr>
        <w:t>Constat :</w:t>
      </w:r>
      <w:r>
        <w:t xml:space="preserve"> </w:t>
      </w:r>
      <w:r>
        <w:rPr>
          <w:i/>
        </w:rPr>
        <w:t>D</w:t>
      </w:r>
      <w:r w:rsidRPr="00837BE8">
        <w:rPr>
          <w:i/>
        </w:rPr>
        <w:t>es habitants</w:t>
      </w:r>
      <w:r w:rsidR="00255835">
        <w:rPr>
          <w:i/>
        </w:rPr>
        <w:t xml:space="preserve"> usagers de services sociaux et de santé</w:t>
      </w:r>
      <w:r w:rsidRPr="00837BE8">
        <w:rPr>
          <w:i/>
        </w:rPr>
        <w:t xml:space="preserve"> et </w:t>
      </w:r>
      <w:r>
        <w:rPr>
          <w:i/>
        </w:rPr>
        <w:t>d</w:t>
      </w:r>
      <w:r w:rsidRPr="00837BE8">
        <w:rPr>
          <w:i/>
        </w:rPr>
        <w:t>es</w:t>
      </w:r>
      <w:r>
        <w:rPr>
          <w:i/>
        </w:rPr>
        <w:t xml:space="preserve"> professionnels de la première ligne sociale et de soins interrogés expriment une méfiance envers les institutions destinées aux publics : sentiment d’abandon, d’absence de réponse structurelle, de non-considération. Le diagnostic qualitatif identifie peu de mécanisme de relais sur cette problématique. </w:t>
      </w:r>
    </w:p>
    <w:p w:rsidR="00A217D4" w:rsidRDefault="009C6A85" w:rsidP="00FF7868">
      <w:pPr>
        <w:pStyle w:val="Titre3"/>
        <w:pBdr>
          <w:top w:val="single" w:sz="4" w:space="0" w:color="auto"/>
        </w:pBdr>
        <w:shd w:val="clear" w:color="auto" w:fill="C5E0B3" w:themeFill="accent6" w:themeFillTint="66"/>
      </w:pPr>
      <w:r>
        <w:t>(OO</w:t>
      </w:r>
      <w:r w:rsidR="00A217D4">
        <w:t>). Les sources menant aux constats de cette distance sont documentés dans les deux quartiers du projet</w:t>
      </w:r>
      <w:r w:rsidR="00263730">
        <w:t xml:space="preserve">, et des critères de </w:t>
      </w:r>
      <w:r w:rsidR="00AE6232">
        <w:t xml:space="preserve">qualité évaluables et </w:t>
      </w:r>
      <w:r w:rsidR="003B7666">
        <w:t xml:space="preserve">réalistes </w:t>
      </w:r>
      <w:r w:rsidR="00263730">
        <w:t>sont</w:t>
      </w:r>
      <w:r w:rsidR="003B7666">
        <w:t xml:space="preserve"> identifiés</w:t>
      </w:r>
      <w:r w:rsidR="00263730">
        <w:t>.</w:t>
      </w:r>
    </w:p>
    <w:tbl>
      <w:tblPr>
        <w:tblStyle w:val="Grilledutableau"/>
        <w:tblW w:w="10485" w:type="dxa"/>
        <w:tblLook w:val="04A0" w:firstRow="1" w:lastRow="0" w:firstColumn="1" w:lastColumn="0" w:noHBand="0" w:noVBand="1"/>
      </w:tblPr>
      <w:tblGrid>
        <w:gridCol w:w="762"/>
        <w:gridCol w:w="9723"/>
      </w:tblGrid>
      <w:tr w:rsidR="00A217D4" w:rsidRPr="00045713" w:rsidTr="006518AF">
        <w:trPr>
          <w:trHeight w:val="556"/>
        </w:trPr>
        <w:tc>
          <w:tcPr>
            <w:tcW w:w="762" w:type="dxa"/>
          </w:tcPr>
          <w:p w:rsidR="00A217D4" w:rsidRPr="00D330C0" w:rsidRDefault="00A217D4" w:rsidP="00C72B8E">
            <w:pPr>
              <w:rPr>
                <w:b/>
                <w:lang w:val="fr-FR"/>
              </w:rPr>
            </w:pPr>
            <w:r w:rsidRPr="00D330C0">
              <w:rPr>
                <w:b/>
                <w:lang w:val="fr-FR"/>
              </w:rPr>
              <w:t>A1</w:t>
            </w:r>
          </w:p>
        </w:tc>
        <w:tc>
          <w:tcPr>
            <w:tcW w:w="9723" w:type="dxa"/>
          </w:tcPr>
          <w:p w:rsidR="00A217D4" w:rsidRPr="00045713" w:rsidRDefault="00A217D4" w:rsidP="00CB6D57">
            <w:pPr>
              <w:rPr>
                <w:lang w:val="fr-FR"/>
              </w:rPr>
            </w:pPr>
            <w:r>
              <w:rPr>
                <w:lang w:val="fr-FR"/>
              </w:rPr>
              <w:t xml:space="preserve">Un groupe de travail </w:t>
            </w:r>
            <w:r w:rsidR="00512416">
              <w:rPr>
                <w:lang w:val="fr-FR"/>
              </w:rPr>
              <w:t>dresse</w:t>
            </w:r>
            <w:r>
              <w:rPr>
                <w:lang w:val="fr-FR"/>
              </w:rPr>
              <w:t xml:space="preserve"> les constats et les documente</w:t>
            </w:r>
            <w:r w:rsidR="00575EBD">
              <w:rPr>
                <w:lang w:val="fr-FR"/>
              </w:rPr>
              <w:t xml:space="preserve"> à l’aide d’une méthodologie de diagnostic concertée</w:t>
            </w:r>
            <w:r>
              <w:rPr>
                <w:lang w:val="fr-FR"/>
              </w:rPr>
              <w:t xml:space="preserve">, </w:t>
            </w:r>
            <w:r w:rsidR="00575EBD">
              <w:rPr>
                <w:lang w:val="fr-FR"/>
              </w:rPr>
              <w:t xml:space="preserve">incluant </w:t>
            </w:r>
            <w:r>
              <w:rPr>
                <w:lang w:val="fr-FR"/>
              </w:rPr>
              <w:t>les associations partenaires des projets</w:t>
            </w:r>
            <w:r w:rsidR="00A00BA4">
              <w:rPr>
                <w:lang w:val="fr-FR"/>
              </w:rPr>
              <w:t xml:space="preserve"> CLSS</w:t>
            </w:r>
            <w:r w:rsidR="005D41F9">
              <w:rPr>
                <w:lang w:val="fr-FR"/>
              </w:rPr>
              <w:t xml:space="preserve"> et les services publics</w:t>
            </w:r>
            <w:r>
              <w:rPr>
                <w:lang w:val="fr-FR"/>
              </w:rPr>
              <w:t>.</w:t>
            </w:r>
          </w:p>
        </w:tc>
      </w:tr>
      <w:tr w:rsidR="00A217D4" w:rsidTr="00653C0B">
        <w:trPr>
          <w:trHeight w:val="416"/>
        </w:trPr>
        <w:tc>
          <w:tcPr>
            <w:tcW w:w="762" w:type="dxa"/>
          </w:tcPr>
          <w:p w:rsidR="00A217D4" w:rsidRPr="00D330C0" w:rsidRDefault="00CF37BD" w:rsidP="00C72B8E">
            <w:pPr>
              <w:rPr>
                <w:b/>
                <w:lang w:val="fr-FR"/>
              </w:rPr>
            </w:pPr>
            <w:r>
              <w:rPr>
                <w:b/>
                <w:lang w:val="fr-FR"/>
              </w:rPr>
              <w:t>A2</w:t>
            </w:r>
          </w:p>
        </w:tc>
        <w:tc>
          <w:tcPr>
            <w:tcW w:w="9723" w:type="dxa"/>
          </w:tcPr>
          <w:p w:rsidR="00A217D4" w:rsidRDefault="00A217D4" w:rsidP="002D0966">
            <w:pPr>
              <w:rPr>
                <w:lang w:val="fr-FR"/>
              </w:rPr>
            </w:pPr>
            <w:r>
              <w:rPr>
                <w:lang w:val="fr-FR"/>
              </w:rPr>
              <w:t>Des pistes d’actions sont élaborées qui tiennent compte des besoins des usagers des services</w:t>
            </w:r>
            <w:r w:rsidR="00440A3A">
              <w:rPr>
                <w:lang w:val="fr-FR"/>
              </w:rPr>
              <w:t>, à partir des</w:t>
            </w:r>
            <w:r w:rsidR="00EA6D47">
              <w:rPr>
                <w:lang w:val="fr-FR"/>
              </w:rPr>
              <w:t xml:space="preserve"> constat</w:t>
            </w:r>
            <w:r w:rsidR="00440A3A">
              <w:rPr>
                <w:lang w:val="fr-FR"/>
              </w:rPr>
              <w:t>s</w:t>
            </w:r>
            <w:r w:rsidR="00EA6D47">
              <w:rPr>
                <w:lang w:val="fr-FR"/>
              </w:rPr>
              <w:t xml:space="preserve"> et en bonne collaboration avec les services identifiés</w:t>
            </w:r>
            <w:r>
              <w:rPr>
                <w:lang w:val="fr-FR"/>
              </w:rPr>
              <w:t>.</w:t>
            </w:r>
          </w:p>
        </w:tc>
      </w:tr>
    </w:tbl>
    <w:p w:rsidR="00A217D4" w:rsidRDefault="00A217D4" w:rsidP="00A217D4">
      <w:pPr>
        <w:rPr>
          <w:lang w:val="fr-FR"/>
        </w:rPr>
      </w:pPr>
    </w:p>
    <w:p w:rsidR="00A217D4" w:rsidRDefault="00CF5EC0" w:rsidP="00FF7868">
      <w:pPr>
        <w:pStyle w:val="Titre3"/>
        <w:shd w:val="clear" w:color="auto" w:fill="C5E0B3" w:themeFill="accent6" w:themeFillTint="66"/>
      </w:pPr>
      <w:r>
        <w:t>(OO</w:t>
      </w:r>
      <w:r w:rsidR="00A217D4">
        <w:t xml:space="preserve">). </w:t>
      </w:r>
      <w:r w:rsidR="00A217D4" w:rsidRPr="007824E0">
        <w:t>Un mécanisme de concertation est élaboré entre les services identifiés et le groupe de travail.</w:t>
      </w:r>
    </w:p>
    <w:tbl>
      <w:tblPr>
        <w:tblStyle w:val="Grilledutableau"/>
        <w:tblW w:w="10485" w:type="dxa"/>
        <w:tblLook w:val="04A0" w:firstRow="1" w:lastRow="0" w:firstColumn="1" w:lastColumn="0" w:noHBand="0" w:noVBand="1"/>
      </w:tblPr>
      <w:tblGrid>
        <w:gridCol w:w="611"/>
        <w:gridCol w:w="9874"/>
      </w:tblGrid>
      <w:tr w:rsidR="00A217D4" w:rsidTr="006518AF">
        <w:trPr>
          <w:trHeight w:val="378"/>
        </w:trPr>
        <w:tc>
          <w:tcPr>
            <w:tcW w:w="611" w:type="dxa"/>
          </w:tcPr>
          <w:p w:rsidR="00A217D4" w:rsidRPr="004C7C20" w:rsidRDefault="00A217D4" w:rsidP="00C72B8E">
            <w:pPr>
              <w:rPr>
                <w:b/>
                <w:lang w:val="fr-FR"/>
              </w:rPr>
            </w:pPr>
            <w:r w:rsidRPr="004C7C20">
              <w:rPr>
                <w:b/>
                <w:lang w:val="fr-FR"/>
              </w:rPr>
              <w:t>A1</w:t>
            </w:r>
          </w:p>
        </w:tc>
        <w:tc>
          <w:tcPr>
            <w:tcW w:w="9874" w:type="dxa"/>
          </w:tcPr>
          <w:p w:rsidR="00A217D4" w:rsidRDefault="00A217D4" w:rsidP="00C72B8E">
            <w:pPr>
              <w:rPr>
                <w:lang w:val="fr-FR"/>
              </w:rPr>
            </w:pPr>
            <w:r>
              <w:rPr>
                <w:lang w:val="fr-FR"/>
              </w:rPr>
              <w:t>Les constats du diagnostics sont discutés en bonne collaboration avec les services identifiés avec une orientation pistes d’action.</w:t>
            </w:r>
          </w:p>
        </w:tc>
      </w:tr>
    </w:tbl>
    <w:p w:rsidR="00A217D4" w:rsidRPr="00A217D4" w:rsidRDefault="00A217D4">
      <w:pPr>
        <w:rPr>
          <w:b/>
          <w:color w:val="FFFFFF" w:themeColor="background1"/>
          <w:lang w:val="fr-FR"/>
        </w:rPr>
      </w:pPr>
    </w:p>
    <w:p w:rsidR="00A217D4" w:rsidRDefault="00A217D4">
      <w:pPr>
        <w:rPr>
          <w:b/>
          <w:color w:val="FFFFFF" w:themeColor="background1"/>
        </w:rPr>
        <w:sectPr w:rsidR="00A217D4" w:rsidSect="00A217D4">
          <w:headerReference w:type="default" r:id="rId8"/>
          <w:footerReference w:type="default" r:id="rId9"/>
          <w:pgSz w:w="11906" w:h="16838"/>
          <w:pgMar w:top="720" w:right="720" w:bottom="720" w:left="720" w:header="708" w:footer="708" w:gutter="0"/>
          <w:cols w:space="708"/>
          <w:docGrid w:linePitch="360"/>
        </w:sectPr>
      </w:pPr>
      <w:r>
        <w:rPr>
          <w:b/>
          <w:color w:val="FFFFFF" w:themeColor="background1"/>
        </w:rPr>
        <w:br w:type="page"/>
      </w:r>
    </w:p>
    <w:p w:rsidR="006B52D2" w:rsidRPr="00AB2F1C" w:rsidRDefault="00E21141" w:rsidP="00F947B2">
      <w:pPr>
        <w:pBdr>
          <w:top w:val="single" w:sz="4" w:space="1" w:color="auto"/>
          <w:left w:val="single" w:sz="4" w:space="4" w:color="auto"/>
          <w:bottom w:val="single" w:sz="4" w:space="1" w:color="auto"/>
          <w:right w:val="single" w:sz="4" w:space="0" w:color="auto"/>
        </w:pBdr>
        <w:shd w:val="clear" w:color="auto" w:fill="FFE599" w:themeFill="accent4" w:themeFillTint="66"/>
        <w:ind w:right="656"/>
        <w:rPr>
          <w:b/>
        </w:rPr>
      </w:pPr>
      <w:r w:rsidRPr="00AB2F1C">
        <w:rPr>
          <w:b/>
        </w:rPr>
        <w:lastRenderedPageBreak/>
        <w:t>Thématique</w:t>
      </w:r>
      <w:r w:rsidR="006B52D2" w:rsidRPr="00AB2F1C">
        <w:rPr>
          <w:b/>
        </w:rPr>
        <w:t xml:space="preserve"> 1 : la prévention des expulsions domiciliaires</w:t>
      </w:r>
    </w:p>
    <w:p w:rsidR="00A1262D" w:rsidRPr="006B52D2" w:rsidRDefault="00A1262D" w:rsidP="00A1262D">
      <w:pPr>
        <w:rPr>
          <w:b/>
          <w:i/>
        </w:rPr>
      </w:pPr>
      <w:r w:rsidRPr="006B52D2">
        <w:rPr>
          <w:b/>
          <w:i/>
        </w:rPr>
        <w:t xml:space="preserve">Les objectifs en </w:t>
      </w:r>
      <w:r>
        <w:rPr>
          <w:b/>
          <w:i/>
        </w:rPr>
        <w:t>gris</w:t>
      </w:r>
      <w:r w:rsidRPr="006B52D2">
        <w:rPr>
          <w:b/>
          <w:i/>
        </w:rPr>
        <w:t xml:space="preserve"> </w:t>
      </w:r>
      <w:r w:rsidR="00CF0FC7">
        <w:rPr>
          <w:b/>
          <w:i/>
        </w:rPr>
        <w:t xml:space="preserve"> et en gras </w:t>
      </w:r>
      <w:r w:rsidRPr="006B52D2">
        <w:rPr>
          <w:b/>
          <w:i/>
        </w:rPr>
        <w:t xml:space="preserve">sont ceux qui seront pilotés par le CPAS et ne </w:t>
      </w:r>
      <w:r>
        <w:rPr>
          <w:b/>
          <w:i/>
        </w:rPr>
        <w:t>feront pas l’objet de l’appel à projets.</w:t>
      </w:r>
    </w:p>
    <w:tbl>
      <w:tblPr>
        <w:tblW w:w="14669" w:type="dxa"/>
        <w:tblCellMar>
          <w:left w:w="70" w:type="dxa"/>
          <w:right w:w="70" w:type="dxa"/>
        </w:tblCellMar>
        <w:tblLook w:val="04A0" w:firstRow="1" w:lastRow="0" w:firstColumn="1" w:lastColumn="0" w:noHBand="0" w:noVBand="1"/>
      </w:tblPr>
      <w:tblGrid>
        <w:gridCol w:w="252"/>
        <w:gridCol w:w="1585"/>
        <w:gridCol w:w="439"/>
        <w:gridCol w:w="2115"/>
        <w:gridCol w:w="708"/>
        <w:gridCol w:w="3261"/>
        <w:gridCol w:w="3936"/>
        <w:gridCol w:w="584"/>
        <w:gridCol w:w="584"/>
        <w:gridCol w:w="659"/>
        <w:gridCol w:w="546"/>
      </w:tblGrid>
      <w:tr w:rsidR="00AB2F1C" w:rsidRPr="00AB2F1C" w:rsidTr="00AB2F1C">
        <w:trPr>
          <w:trHeight w:val="254"/>
        </w:trPr>
        <w:tc>
          <w:tcPr>
            <w:tcW w:w="183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noWrap/>
            <w:hideMark/>
          </w:tcPr>
          <w:p w:rsidR="00D32D5F" w:rsidRPr="00AB2F1C" w:rsidRDefault="00D32D5F" w:rsidP="00C72B8E">
            <w:pPr>
              <w:spacing w:after="0" w:line="240" w:lineRule="auto"/>
              <w:jc w:val="center"/>
              <w:rPr>
                <w:rFonts w:eastAsia="Times New Roman" w:cs="Arial"/>
                <w:b/>
                <w:szCs w:val="20"/>
                <w:lang w:eastAsia="fr-BE"/>
              </w:rPr>
            </w:pPr>
            <w:r w:rsidRPr="00AB2F1C">
              <w:rPr>
                <w:rFonts w:eastAsia="Times New Roman" w:cs="Arial"/>
                <w:b/>
                <w:szCs w:val="20"/>
                <w:lang w:eastAsia="fr-BE"/>
              </w:rPr>
              <w:t>Objectif général</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hideMark/>
          </w:tcPr>
          <w:p w:rsidR="00D32D5F" w:rsidRPr="00AB2F1C" w:rsidRDefault="00D32D5F" w:rsidP="00C72B8E">
            <w:pPr>
              <w:spacing w:after="0" w:line="240" w:lineRule="auto"/>
              <w:jc w:val="center"/>
              <w:rPr>
                <w:rFonts w:eastAsia="Times New Roman" w:cs="Arial"/>
                <w:b/>
                <w:szCs w:val="20"/>
                <w:lang w:eastAsia="fr-BE"/>
              </w:rPr>
            </w:pPr>
            <w:r w:rsidRPr="00AB2F1C">
              <w:rPr>
                <w:rFonts w:eastAsia="Times New Roman" w:cs="Arial"/>
                <w:b/>
                <w:szCs w:val="20"/>
                <w:lang w:eastAsia="fr-BE"/>
              </w:rPr>
              <w:t>Objectifs intermédiaires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rsidR="00D32D5F" w:rsidRPr="00AB2F1C" w:rsidRDefault="00D32D5F" w:rsidP="00C72B8E">
            <w:pPr>
              <w:spacing w:after="0" w:line="240" w:lineRule="auto"/>
              <w:jc w:val="center"/>
              <w:rPr>
                <w:rFonts w:eastAsia="Times New Roman" w:cs="Arial"/>
                <w:b/>
                <w:szCs w:val="20"/>
                <w:lang w:eastAsia="fr-BE"/>
              </w:rPr>
            </w:pPr>
            <w:r w:rsidRPr="00AB2F1C">
              <w:rPr>
                <w:rFonts w:eastAsia="Times New Roman" w:cs="Arial"/>
                <w:b/>
                <w:szCs w:val="20"/>
                <w:lang w:eastAsia="fr-BE"/>
              </w:rPr>
              <w:t>Objectifs opérationnels</w:t>
            </w:r>
          </w:p>
        </w:tc>
        <w:tc>
          <w:tcPr>
            <w:tcW w:w="3936" w:type="dxa"/>
            <w:tcBorders>
              <w:top w:val="single" w:sz="4" w:space="0" w:color="auto"/>
              <w:left w:val="single" w:sz="4" w:space="0" w:color="auto"/>
              <w:bottom w:val="single" w:sz="4" w:space="0" w:color="auto"/>
              <w:right w:val="single" w:sz="4" w:space="0" w:color="auto"/>
            </w:tcBorders>
            <w:shd w:val="clear" w:color="auto" w:fill="auto"/>
            <w:noWrap/>
            <w:hideMark/>
          </w:tcPr>
          <w:p w:rsidR="00D32D5F" w:rsidRPr="00AB2F1C" w:rsidRDefault="00D32D5F" w:rsidP="00C72B8E">
            <w:pPr>
              <w:spacing w:after="0" w:line="240" w:lineRule="auto"/>
              <w:jc w:val="center"/>
              <w:rPr>
                <w:rFonts w:eastAsia="Times New Roman" w:cs="Arial"/>
                <w:b/>
                <w:szCs w:val="20"/>
                <w:lang w:eastAsia="fr-BE"/>
              </w:rPr>
            </w:pPr>
            <w:r w:rsidRPr="00AB2F1C">
              <w:rPr>
                <w:rFonts w:eastAsia="Times New Roman" w:cs="Arial"/>
                <w:b/>
                <w:szCs w:val="20"/>
                <w:lang w:eastAsia="fr-BE"/>
              </w:rPr>
              <w:t>Suggestions d'actions</w:t>
            </w:r>
          </w:p>
        </w:tc>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D32D5F" w:rsidRPr="00AB2F1C" w:rsidRDefault="00D32D5F" w:rsidP="00C72B8E">
            <w:pPr>
              <w:spacing w:after="0" w:line="240" w:lineRule="auto"/>
              <w:jc w:val="center"/>
              <w:rPr>
                <w:rFonts w:eastAsia="Times New Roman" w:cs="Arial"/>
                <w:b/>
                <w:szCs w:val="20"/>
                <w:lang w:eastAsia="fr-BE"/>
              </w:rPr>
            </w:pPr>
            <w:r w:rsidRPr="00AB2F1C">
              <w:rPr>
                <w:rFonts w:eastAsia="Times New Roman" w:cs="Arial"/>
                <w:b/>
                <w:szCs w:val="20"/>
                <w:lang w:eastAsia="fr-BE"/>
              </w:rPr>
              <w:t>2022</w:t>
            </w:r>
          </w:p>
        </w:tc>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D32D5F" w:rsidRPr="00AB2F1C" w:rsidRDefault="00D32D5F" w:rsidP="00C72B8E">
            <w:pPr>
              <w:spacing w:after="0" w:line="240" w:lineRule="auto"/>
              <w:jc w:val="center"/>
              <w:rPr>
                <w:rFonts w:eastAsia="Times New Roman" w:cs="Arial"/>
                <w:b/>
                <w:szCs w:val="20"/>
                <w:lang w:eastAsia="fr-BE"/>
              </w:rPr>
            </w:pPr>
            <w:r w:rsidRPr="00AB2F1C">
              <w:rPr>
                <w:rFonts w:eastAsia="Times New Roman" w:cs="Arial"/>
                <w:b/>
                <w:szCs w:val="20"/>
                <w:lang w:eastAsia="fr-BE"/>
              </w:rPr>
              <w:t>2023</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D32D5F" w:rsidRPr="00AB2F1C" w:rsidRDefault="00D32D5F" w:rsidP="00C72B8E">
            <w:pPr>
              <w:spacing w:after="0" w:line="240" w:lineRule="auto"/>
              <w:jc w:val="center"/>
              <w:rPr>
                <w:rFonts w:eastAsia="Times New Roman" w:cs="Arial"/>
                <w:b/>
                <w:szCs w:val="20"/>
                <w:lang w:eastAsia="fr-BE"/>
              </w:rPr>
            </w:pPr>
            <w:r w:rsidRPr="00AB2F1C">
              <w:rPr>
                <w:rFonts w:eastAsia="Times New Roman" w:cs="Arial"/>
                <w:b/>
                <w:szCs w:val="20"/>
                <w:lang w:eastAsia="fr-BE"/>
              </w:rPr>
              <w:t>2024</w:t>
            </w:r>
          </w:p>
        </w:tc>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D32D5F" w:rsidRPr="00AB2F1C" w:rsidRDefault="00D32D5F" w:rsidP="00C72B8E">
            <w:pPr>
              <w:rPr>
                <w:b/>
                <w:lang w:eastAsia="fr-BE"/>
              </w:rPr>
            </w:pPr>
            <w:r w:rsidRPr="00AB2F1C">
              <w:rPr>
                <w:b/>
                <w:lang w:eastAsia="fr-BE"/>
              </w:rPr>
              <w:t>2025</w:t>
            </w:r>
          </w:p>
        </w:tc>
      </w:tr>
      <w:tr w:rsidR="00115A2E" w:rsidRPr="00C6442C" w:rsidTr="00FA6CC1">
        <w:trPr>
          <w:trHeight w:val="773"/>
        </w:trPr>
        <w:tc>
          <w:tcPr>
            <w:tcW w:w="252"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noWrap/>
            <w:hideMark/>
          </w:tcPr>
          <w:p w:rsidR="00115A2E" w:rsidRPr="00C6442C" w:rsidRDefault="00115A2E"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1</w:t>
            </w:r>
          </w:p>
          <w:p w:rsidR="00115A2E" w:rsidRPr="00C6442C" w:rsidRDefault="00115A2E"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p w:rsidR="00115A2E" w:rsidRPr="00C6442C" w:rsidRDefault="00115A2E"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p w:rsidR="00115A2E" w:rsidRPr="00C6442C" w:rsidRDefault="00115A2E"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p w:rsidR="00115A2E" w:rsidRPr="00C6442C" w:rsidRDefault="00115A2E"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p w:rsidR="00115A2E" w:rsidRPr="00C6442C" w:rsidRDefault="00115A2E"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p w:rsidR="00115A2E" w:rsidRPr="00C6442C" w:rsidRDefault="00115A2E"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p w:rsidR="00115A2E" w:rsidRPr="00C6442C" w:rsidRDefault="00115A2E"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p w:rsidR="00115A2E" w:rsidRPr="00C6442C" w:rsidRDefault="00115A2E"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p w:rsidR="00115A2E" w:rsidRPr="00C6442C" w:rsidRDefault="00115A2E"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15A2E" w:rsidRPr="00C6442C" w:rsidRDefault="00115A2E" w:rsidP="00C72B8E">
            <w:pPr>
              <w:rPr>
                <w:lang w:eastAsia="fr-BE"/>
              </w:rPr>
            </w:pPr>
            <w:r w:rsidRPr="00C6442C">
              <w:rPr>
                <w:lang w:eastAsia="fr-BE"/>
              </w:rPr>
              <w:t>Diminuer la perte de logement dans le quartier</w:t>
            </w:r>
          </w:p>
          <w:p w:rsidR="00115A2E" w:rsidRPr="00C6442C" w:rsidRDefault="00115A2E" w:rsidP="00C72B8E">
            <w:pPr>
              <w:spacing w:after="0" w:line="240" w:lineRule="auto"/>
              <w:rPr>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lang w:eastAsia="fr-BE"/>
              </w:rPr>
            </w:pPr>
            <w:r w:rsidRPr="00C6442C">
              <w:rPr>
                <w:rFonts w:eastAsia="Times New Roman" w:cs="Arial"/>
                <w:color w:val="000000"/>
                <w:szCs w:val="20"/>
                <w:lang w:eastAsia="fr-BE"/>
              </w:rPr>
              <w:t> </w:t>
            </w:r>
          </w:p>
        </w:tc>
        <w:tc>
          <w:tcPr>
            <w:tcW w:w="439" w:type="dxa"/>
            <w:vMerge w:val="restart"/>
            <w:tcBorders>
              <w:top w:val="single" w:sz="4" w:space="0" w:color="auto"/>
              <w:left w:val="single" w:sz="4" w:space="0" w:color="auto"/>
              <w:right w:val="single" w:sz="4" w:space="0" w:color="auto"/>
            </w:tcBorders>
            <w:shd w:val="clear" w:color="auto" w:fill="F7CAAC" w:themeFill="accent2" w:themeFillTint="66"/>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sidRPr="008933CB">
              <w:rPr>
                <w:rFonts w:eastAsia="Times New Roman" w:cs="Arial"/>
                <w:color w:val="000000"/>
                <w:szCs w:val="20"/>
                <w:lang w:eastAsia="fr-BE"/>
              </w:rPr>
              <w:t>1.1</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2115" w:type="dxa"/>
            <w:vMerge w:val="restart"/>
            <w:tcBorders>
              <w:top w:val="single" w:sz="4" w:space="0" w:color="auto"/>
              <w:left w:val="nil"/>
              <w:right w:val="single" w:sz="4" w:space="0" w:color="auto"/>
            </w:tcBorders>
            <w:shd w:val="clear" w:color="auto" w:fill="auto"/>
            <w:noWrap/>
            <w:hideMark/>
          </w:tcPr>
          <w:p w:rsidR="00115A2E" w:rsidRPr="00C6442C" w:rsidRDefault="00115A2E" w:rsidP="00C72B8E">
            <w:pPr>
              <w:rPr>
                <w:lang w:eastAsia="fr-BE"/>
              </w:rPr>
            </w:pPr>
            <w:r w:rsidRPr="00C6442C">
              <w:rPr>
                <w:lang w:eastAsia="fr-BE"/>
              </w:rPr>
              <w:t> </w:t>
            </w:r>
            <w:r w:rsidRPr="008933CB">
              <w:rPr>
                <w:lang w:eastAsia="fr-BE"/>
              </w:rPr>
              <w:t>Les personnes en situation de risque de perte de logement sont accompagnées de manière précoce par un service de 1</w:t>
            </w:r>
            <w:r w:rsidRPr="008933CB">
              <w:rPr>
                <w:vertAlign w:val="superscript"/>
                <w:lang w:eastAsia="fr-BE"/>
              </w:rPr>
              <w:t>ère</w:t>
            </w:r>
            <w:r w:rsidRPr="008933CB">
              <w:rPr>
                <w:lang w:eastAsia="fr-BE"/>
              </w:rPr>
              <w:t xml:space="preserve"> ligne.</w:t>
            </w:r>
          </w:p>
          <w:p w:rsidR="00115A2E" w:rsidRPr="00C6442C" w:rsidRDefault="00115A2E" w:rsidP="00C72B8E">
            <w:pPr>
              <w:spacing w:after="0" w:line="240" w:lineRule="auto"/>
              <w:rPr>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lang w:eastAsia="fr-BE"/>
              </w:rPr>
            </w:pPr>
            <w:r w:rsidRPr="00C6442C">
              <w:rPr>
                <w:rFonts w:eastAsia="Times New Roman" w:cs="Arial"/>
                <w:color w:val="000000"/>
                <w:szCs w:val="20"/>
                <w:lang w:eastAsia="fr-BE"/>
              </w:rPr>
              <w:t> </w:t>
            </w:r>
          </w:p>
        </w:tc>
        <w:tc>
          <w:tcPr>
            <w:tcW w:w="708" w:type="dxa"/>
            <w:vMerge w:val="restart"/>
            <w:tcBorders>
              <w:top w:val="single" w:sz="4" w:space="0" w:color="auto"/>
              <w:left w:val="nil"/>
              <w:right w:val="single" w:sz="4" w:space="0" w:color="auto"/>
            </w:tcBorders>
            <w:shd w:val="clear" w:color="auto" w:fill="C5E0B3" w:themeFill="accent6" w:themeFillTint="66"/>
            <w:noWrap/>
            <w:hideMark/>
          </w:tcPr>
          <w:p w:rsidR="00115A2E" w:rsidRPr="00C6442C" w:rsidRDefault="00115A2E" w:rsidP="00C72B8E">
            <w:pPr>
              <w:spacing w:after="0" w:line="240" w:lineRule="auto"/>
              <w:rPr>
                <w:rFonts w:eastAsia="Times New Roman" w:cs="Arial"/>
                <w:color w:val="000000"/>
                <w:szCs w:val="20"/>
                <w:lang w:eastAsia="fr-BE"/>
              </w:rPr>
            </w:pPr>
            <w:r w:rsidRPr="008933CB">
              <w:rPr>
                <w:rFonts w:eastAsia="Times New Roman" w:cs="Arial"/>
                <w:color w:val="000000"/>
                <w:szCs w:val="20"/>
                <w:lang w:eastAsia="fr-BE"/>
              </w:rPr>
              <w:t>1.1.1</w:t>
            </w:r>
            <w:r w:rsidRPr="00C6442C">
              <w:rPr>
                <w:rFonts w:eastAsia="Times New Roman" w:cs="Arial"/>
                <w:color w:val="000000"/>
                <w:szCs w:val="20"/>
                <w:lang w:eastAsia="fr-BE"/>
              </w:rPr>
              <w:t> </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3261" w:type="dxa"/>
            <w:vMerge w:val="restart"/>
            <w:tcBorders>
              <w:top w:val="single" w:sz="4" w:space="0" w:color="auto"/>
              <w:left w:val="nil"/>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Pr>
                <w:lang w:val="fr-FR"/>
              </w:rPr>
              <w:t>Les</w:t>
            </w:r>
            <w:r w:rsidRPr="002C50AF">
              <w:rPr>
                <w:lang w:val="fr-FR"/>
              </w:rPr>
              <w:t xml:space="preserve"> personnes en situation de risque de perte de logement sont systématiquemen</w:t>
            </w:r>
            <w:r>
              <w:rPr>
                <w:lang w:val="fr-FR"/>
              </w:rPr>
              <w:t xml:space="preserve">t repérées et informées par les </w:t>
            </w:r>
            <w:r w:rsidRPr="002C50AF">
              <w:rPr>
                <w:lang w:val="fr-FR"/>
              </w:rPr>
              <w:t xml:space="preserve">services de </w:t>
            </w:r>
            <w:r>
              <w:rPr>
                <w:lang w:val="fr-FR"/>
              </w:rPr>
              <w:t>1</w:t>
            </w:r>
            <w:r w:rsidRPr="00E73C17">
              <w:rPr>
                <w:vertAlign w:val="superscript"/>
                <w:lang w:val="fr-FR"/>
              </w:rPr>
              <w:t>ère</w:t>
            </w:r>
            <w:r>
              <w:rPr>
                <w:lang w:val="fr-FR"/>
              </w:rPr>
              <w:t xml:space="preserve"> </w:t>
            </w:r>
            <w:r w:rsidRPr="002C50AF">
              <w:rPr>
                <w:lang w:val="fr-FR"/>
              </w:rPr>
              <w:t>ligne</w:t>
            </w:r>
            <w:r>
              <w:rPr>
                <w:lang w:val="fr-FR"/>
              </w:rPr>
              <w:t xml:space="preserve"> </w:t>
            </w:r>
            <w:r w:rsidRPr="002C50AF">
              <w:rPr>
                <w:lang w:val="fr-FR"/>
              </w:rPr>
              <w:t>non spécialisés du quartier de manière précoce</w:t>
            </w:r>
            <w:r>
              <w:rPr>
                <w:lang w:val="fr-FR"/>
              </w:rPr>
              <w:t>, dans le cadre de leur mission habituelle</w:t>
            </w:r>
            <w:r w:rsidRPr="002C50AF">
              <w:rPr>
                <w:lang w:val="fr-FR"/>
              </w:rPr>
              <w:t>.</w:t>
            </w:r>
          </w:p>
        </w:tc>
        <w:tc>
          <w:tcPr>
            <w:tcW w:w="3936" w:type="dxa"/>
            <w:tcBorders>
              <w:top w:val="single" w:sz="4" w:space="0" w:color="auto"/>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Pr>
                <w:lang w:val="fr-FR"/>
              </w:rPr>
              <w:t>Ces services de 1</w:t>
            </w:r>
            <w:r w:rsidRPr="00E73C17">
              <w:rPr>
                <w:vertAlign w:val="superscript"/>
                <w:lang w:val="fr-FR"/>
              </w:rPr>
              <w:t>ère</w:t>
            </w:r>
            <w:r>
              <w:rPr>
                <w:lang w:val="fr-FR"/>
              </w:rPr>
              <w:t xml:space="preserve"> ligne</w:t>
            </w:r>
            <w:r w:rsidRPr="00490247">
              <w:rPr>
                <w:lang w:val="fr-FR"/>
              </w:rPr>
              <w:t xml:space="preserve"> implémentent ou développent un outil de repérage systématique des situations à risques.</w:t>
            </w:r>
          </w:p>
        </w:tc>
        <w:tc>
          <w:tcPr>
            <w:tcW w:w="584" w:type="dxa"/>
            <w:tcBorders>
              <w:top w:val="single" w:sz="4" w:space="0" w:color="auto"/>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x</w:t>
            </w:r>
          </w:p>
        </w:tc>
        <w:tc>
          <w:tcPr>
            <w:tcW w:w="584" w:type="dxa"/>
            <w:tcBorders>
              <w:top w:val="single" w:sz="4" w:space="0" w:color="auto"/>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659" w:type="dxa"/>
            <w:tcBorders>
              <w:top w:val="single" w:sz="4" w:space="0" w:color="auto"/>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546" w:type="dxa"/>
            <w:tcBorders>
              <w:top w:val="single" w:sz="4" w:space="0" w:color="auto"/>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tc>
      </w:tr>
      <w:tr w:rsidR="00115A2E" w:rsidRPr="00C6442C" w:rsidTr="00FA6CC1">
        <w:trPr>
          <w:trHeight w:val="254"/>
        </w:trPr>
        <w:tc>
          <w:tcPr>
            <w:tcW w:w="252"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rsidR="00115A2E" w:rsidRPr="00C6442C" w:rsidRDefault="00115A2E" w:rsidP="00C72B8E">
            <w:pPr>
              <w:spacing w:after="0" w:line="240" w:lineRule="auto"/>
              <w:rPr>
                <w:rFonts w:ascii="Arial" w:eastAsia="Times New Roman" w:hAnsi="Arial" w:cs="Arial"/>
                <w:color w:val="000000"/>
                <w:szCs w:val="20"/>
                <w:lang w:eastAsia="fr-BE"/>
              </w:rPr>
            </w:pPr>
          </w:p>
        </w:tc>
        <w:tc>
          <w:tcPr>
            <w:tcW w:w="1585" w:type="dxa"/>
            <w:vMerge/>
            <w:tcBorders>
              <w:top w:val="single" w:sz="4" w:space="0" w:color="auto"/>
              <w:left w:val="single" w:sz="4" w:space="0" w:color="auto"/>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p>
        </w:tc>
        <w:tc>
          <w:tcPr>
            <w:tcW w:w="439" w:type="dxa"/>
            <w:vMerge/>
            <w:tcBorders>
              <w:left w:val="single" w:sz="4" w:space="0" w:color="auto"/>
              <w:right w:val="single" w:sz="4" w:space="0" w:color="auto"/>
            </w:tcBorders>
            <w:shd w:val="clear" w:color="auto" w:fill="F7CAAC" w:themeFill="accent2" w:themeFillTint="66"/>
            <w:noWrap/>
            <w:hideMark/>
          </w:tcPr>
          <w:p w:rsidR="00115A2E" w:rsidRPr="00C6442C" w:rsidRDefault="00115A2E" w:rsidP="00C72B8E">
            <w:pPr>
              <w:spacing w:after="0" w:line="240" w:lineRule="auto"/>
              <w:rPr>
                <w:rFonts w:eastAsia="Times New Roman" w:cs="Arial"/>
                <w:color w:val="000000"/>
                <w:szCs w:val="20"/>
                <w:lang w:eastAsia="fr-BE"/>
              </w:rPr>
            </w:pPr>
          </w:p>
        </w:tc>
        <w:tc>
          <w:tcPr>
            <w:tcW w:w="2115" w:type="dxa"/>
            <w:vMerge/>
            <w:tcBorders>
              <w:left w:val="nil"/>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p>
        </w:tc>
        <w:tc>
          <w:tcPr>
            <w:tcW w:w="708" w:type="dxa"/>
            <w:vMerge/>
            <w:tcBorders>
              <w:left w:val="nil"/>
              <w:bottom w:val="single" w:sz="4" w:space="0" w:color="auto"/>
              <w:right w:val="single" w:sz="4" w:space="0" w:color="auto"/>
            </w:tcBorders>
            <w:shd w:val="clear" w:color="auto" w:fill="C5E0B3" w:themeFill="accent6" w:themeFillTint="66"/>
            <w:noWrap/>
            <w:hideMark/>
          </w:tcPr>
          <w:p w:rsidR="00115A2E" w:rsidRPr="00C6442C" w:rsidRDefault="00115A2E" w:rsidP="00C72B8E">
            <w:pPr>
              <w:spacing w:after="0" w:line="240" w:lineRule="auto"/>
              <w:rPr>
                <w:rFonts w:eastAsia="Times New Roman" w:cs="Arial"/>
                <w:color w:val="000000"/>
                <w:szCs w:val="20"/>
                <w:lang w:eastAsia="fr-BE"/>
              </w:rPr>
            </w:pPr>
          </w:p>
        </w:tc>
        <w:tc>
          <w:tcPr>
            <w:tcW w:w="3261" w:type="dxa"/>
            <w:vMerge/>
            <w:tcBorders>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p>
        </w:tc>
        <w:tc>
          <w:tcPr>
            <w:tcW w:w="3936"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Pr>
                <w:rFonts w:eastAsia="Times New Roman" w:cs="Arial"/>
                <w:color w:val="000000"/>
                <w:szCs w:val="20"/>
                <w:lang w:eastAsia="fr-BE"/>
              </w:rPr>
              <w:t xml:space="preserve">Les </w:t>
            </w:r>
            <w:r w:rsidRPr="00C6442C">
              <w:rPr>
                <w:rFonts w:eastAsia="Times New Roman" w:cs="Arial"/>
                <w:color w:val="000000"/>
                <w:szCs w:val="20"/>
                <w:lang w:eastAsia="fr-BE"/>
              </w:rPr>
              <w:t> </w:t>
            </w:r>
            <w:r>
              <w:rPr>
                <w:color w:val="000000"/>
              </w:rPr>
              <w:t>personnes en situation de risque de perte de logement repérées par les services de 1</w:t>
            </w:r>
            <w:r w:rsidRPr="00B035C5">
              <w:rPr>
                <w:color w:val="000000"/>
                <w:vertAlign w:val="superscript"/>
              </w:rPr>
              <w:t>ère</w:t>
            </w:r>
            <w:r>
              <w:rPr>
                <w:color w:val="000000"/>
              </w:rPr>
              <w:t xml:space="preserve"> ligne sont informées proactivement sur les démarches et les services possibles.</w:t>
            </w:r>
          </w:p>
        </w:tc>
        <w:tc>
          <w:tcPr>
            <w:tcW w:w="584"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x</w:t>
            </w:r>
          </w:p>
        </w:tc>
        <w:tc>
          <w:tcPr>
            <w:tcW w:w="584"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Pr>
                <w:rFonts w:eastAsia="Times New Roman" w:cs="Arial"/>
                <w:color w:val="000000"/>
                <w:szCs w:val="20"/>
                <w:lang w:eastAsia="fr-BE"/>
              </w:rPr>
              <w:t>x</w:t>
            </w:r>
            <w:r w:rsidRPr="00C6442C">
              <w:rPr>
                <w:rFonts w:eastAsia="Times New Roman" w:cs="Arial"/>
                <w:color w:val="000000"/>
                <w:szCs w:val="20"/>
                <w:lang w:eastAsia="fr-BE"/>
              </w:rPr>
              <w:t> </w:t>
            </w:r>
          </w:p>
        </w:tc>
        <w:tc>
          <w:tcPr>
            <w:tcW w:w="659"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Pr>
                <w:rFonts w:eastAsia="Times New Roman" w:cs="Arial"/>
                <w:color w:val="000000"/>
                <w:szCs w:val="20"/>
                <w:lang w:eastAsia="fr-BE"/>
              </w:rPr>
              <w:t>x</w:t>
            </w:r>
            <w:r w:rsidRPr="00C6442C">
              <w:rPr>
                <w:rFonts w:eastAsia="Times New Roman" w:cs="Arial"/>
                <w:color w:val="000000"/>
                <w:szCs w:val="20"/>
                <w:lang w:eastAsia="fr-BE"/>
              </w:rPr>
              <w:t> </w:t>
            </w:r>
          </w:p>
        </w:tc>
        <w:tc>
          <w:tcPr>
            <w:tcW w:w="546" w:type="dxa"/>
            <w:tcBorders>
              <w:top w:val="single" w:sz="4" w:space="0" w:color="auto"/>
              <w:left w:val="nil"/>
              <w:bottom w:val="single" w:sz="4" w:space="0" w:color="auto"/>
              <w:right w:val="single" w:sz="4" w:space="0" w:color="auto"/>
            </w:tcBorders>
            <w:shd w:val="clear" w:color="auto" w:fill="auto"/>
            <w:noWrap/>
            <w:hideMark/>
          </w:tcPr>
          <w:p w:rsidR="00115A2E" w:rsidRPr="00C6442C" w:rsidRDefault="00115A2E" w:rsidP="00C72B8E">
            <w:pPr>
              <w:rPr>
                <w:lang w:eastAsia="fr-BE"/>
              </w:rPr>
            </w:pPr>
            <w:r w:rsidRPr="00C6442C">
              <w:rPr>
                <w:lang w:eastAsia="fr-BE"/>
              </w:rPr>
              <w:t> </w:t>
            </w:r>
            <w:r>
              <w:rPr>
                <w:lang w:eastAsia="fr-BE"/>
              </w:rPr>
              <w:t>x</w:t>
            </w:r>
          </w:p>
        </w:tc>
      </w:tr>
      <w:tr w:rsidR="00115A2E" w:rsidRPr="00C6442C" w:rsidTr="00FA6CC1">
        <w:trPr>
          <w:trHeight w:val="254"/>
        </w:trPr>
        <w:tc>
          <w:tcPr>
            <w:tcW w:w="252"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rsidR="00115A2E" w:rsidRPr="00C6442C" w:rsidRDefault="00115A2E" w:rsidP="00C72B8E">
            <w:pPr>
              <w:spacing w:after="0" w:line="240" w:lineRule="auto"/>
              <w:rPr>
                <w:rFonts w:ascii="Arial" w:eastAsia="Times New Roman" w:hAnsi="Arial" w:cs="Arial"/>
                <w:color w:val="000000"/>
                <w:szCs w:val="20"/>
                <w:lang w:eastAsia="fr-BE"/>
              </w:rPr>
            </w:pPr>
          </w:p>
        </w:tc>
        <w:tc>
          <w:tcPr>
            <w:tcW w:w="1585" w:type="dxa"/>
            <w:vMerge/>
            <w:tcBorders>
              <w:top w:val="single" w:sz="4" w:space="0" w:color="auto"/>
              <w:left w:val="single" w:sz="4" w:space="0" w:color="auto"/>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p>
        </w:tc>
        <w:tc>
          <w:tcPr>
            <w:tcW w:w="439" w:type="dxa"/>
            <w:vMerge/>
            <w:tcBorders>
              <w:left w:val="single" w:sz="4" w:space="0" w:color="auto"/>
              <w:right w:val="single" w:sz="4" w:space="0" w:color="auto"/>
            </w:tcBorders>
            <w:shd w:val="clear" w:color="auto" w:fill="F7CAAC" w:themeFill="accent2" w:themeFillTint="66"/>
            <w:noWrap/>
            <w:hideMark/>
          </w:tcPr>
          <w:p w:rsidR="00115A2E" w:rsidRPr="00C6442C" w:rsidRDefault="00115A2E" w:rsidP="00C72B8E">
            <w:pPr>
              <w:spacing w:after="0" w:line="240" w:lineRule="auto"/>
              <w:rPr>
                <w:rFonts w:eastAsia="Times New Roman" w:cs="Arial"/>
                <w:color w:val="000000"/>
                <w:szCs w:val="20"/>
                <w:lang w:eastAsia="fr-BE"/>
              </w:rPr>
            </w:pPr>
          </w:p>
        </w:tc>
        <w:tc>
          <w:tcPr>
            <w:tcW w:w="2115" w:type="dxa"/>
            <w:vMerge/>
            <w:tcBorders>
              <w:left w:val="nil"/>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p>
        </w:tc>
        <w:tc>
          <w:tcPr>
            <w:tcW w:w="708" w:type="dxa"/>
            <w:vMerge w:val="restart"/>
            <w:tcBorders>
              <w:top w:val="nil"/>
              <w:left w:val="nil"/>
              <w:right w:val="single" w:sz="4" w:space="0" w:color="auto"/>
            </w:tcBorders>
            <w:shd w:val="clear" w:color="auto" w:fill="C5E0B3" w:themeFill="accent6" w:themeFillTint="66"/>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1.1.2</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3261" w:type="dxa"/>
            <w:vMerge w:val="restart"/>
            <w:tcBorders>
              <w:top w:val="nil"/>
              <w:left w:val="nil"/>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lang w:val="fr-FR"/>
              </w:rPr>
              <w:t>Les services de 1</w:t>
            </w:r>
            <w:r w:rsidRPr="009D633F">
              <w:rPr>
                <w:vertAlign w:val="superscript"/>
                <w:lang w:val="fr-FR"/>
              </w:rPr>
              <w:t>ère</w:t>
            </w:r>
            <w:r>
              <w:rPr>
                <w:lang w:val="fr-FR"/>
              </w:rPr>
              <w:t xml:space="preserve"> ligne et les services d’aide aux locataires collaborent activement selon un protocole défini.</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3936" w:type="dxa"/>
            <w:tcBorders>
              <w:top w:val="nil"/>
              <w:left w:val="nil"/>
              <w:bottom w:val="single" w:sz="4" w:space="0" w:color="auto"/>
              <w:right w:val="single" w:sz="4" w:space="0" w:color="auto"/>
            </w:tcBorders>
            <w:shd w:val="clear" w:color="auto" w:fill="auto"/>
            <w:noWrap/>
            <w:hideMark/>
          </w:tcPr>
          <w:p w:rsidR="00115A2E" w:rsidRPr="00C6442C" w:rsidRDefault="00115A2E" w:rsidP="001E1B31">
            <w:pPr>
              <w:spacing w:after="0" w:line="240" w:lineRule="auto"/>
              <w:rPr>
                <w:rFonts w:eastAsia="Times New Roman" w:cs="Arial"/>
                <w:color w:val="000000"/>
                <w:szCs w:val="20"/>
                <w:lang w:eastAsia="fr-BE"/>
              </w:rPr>
            </w:pPr>
            <w:r>
              <w:rPr>
                <w:color w:val="000000"/>
              </w:rPr>
              <w:t>Un cycle de concertations est organisé entre ces services d’aide aux locataires et les services de première ligne du projet dans le but d'identifier les possibilités de collaboration.</w:t>
            </w:r>
          </w:p>
        </w:tc>
        <w:tc>
          <w:tcPr>
            <w:tcW w:w="584"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584"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x</w:t>
            </w:r>
          </w:p>
        </w:tc>
        <w:tc>
          <w:tcPr>
            <w:tcW w:w="659"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p>
        </w:tc>
        <w:tc>
          <w:tcPr>
            <w:tcW w:w="546" w:type="dxa"/>
            <w:tcBorders>
              <w:top w:val="single" w:sz="4" w:space="0" w:color="auto"/>
              <w:left w:val="nil"/>
              <w:bottom w:val="single" w:sz="4" w:space="0" w:color="auto"/>
              <w:right w:val="single" w:sz="4" w:space="0" w:color="auto"/>
            </w:tcBorders>
            <w:shd w:val="clear" w:color="auto" w:fill="auto"/>
            <w:noWrap/>
            <w:hideMark/>
          </w:tcPr>
          <w:p w:rsidR="00115A2E" w:rsidRPr="00C6442C" w:rsidRDefault="00115A2E" w:rsidP="00C72B8E">
            <w:pPr>
              <w:rPr>
                <w:lang w:eastAsia="fr-BE"/>
              </w:rPr>
            </w:pPr>
          </w:p>
        </w:tc>
      </w:tr>
      <w:tr w:rsidR="00115A2E" w:rsidRPr="00C6442C" w:rsidTr="00FA6CC1">
        <w:trPr>
          <w:trHeight w:val="254"/>
        </w:trPr>
        <w:tc>
          <w:tcPr>
            <w:tcW w:w="252"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rsidR="00115A2E" w:rsidRPr="00C6442C" w:rsidRDefault="00115A2E" w:rsidP="00C72B8E">
            <w:pPr>
              <w:spacing w:after="0" w:line="240" w:lineRule="auto"/>
              <w:rPr>
                <w:rFonts w:ascii="Arial" w:eastAsia="Times New Roman" w:hAnsi="Arial" w:cs="Arial"/>
                <w:color w:val="000000"/>
                <w:szCs w:val="20"/>
                <w:lang w:eastAsia="fr-BE"/>
              </w:rPr>
            </w:pPr>
          </w:p>
        </w:tc>
        <w:tc>
          <w:tcPr>
            <w:tcW w:w="1585" w:type="dxa"/>
            <w:vMerge/>
            <w:tcBorders>
              <w:top w:val="single" w:sz="4" w:space="0" w:color="auto"/>
              <w:left w:val="single" w:sz="4" w:space="0" w:color="auto"/>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p>
        </w:tc>
        <w:tc>
          <w:tcPr>
            <w:tcW w:w="439" w:type="dxa"/>
            <w:vMerge/>
            <w:tcBorders>
              <w:left w:val="single" w:sz="4" w:space="0" w:color="auto"/>
              <w:right w:val="single" w:sz="4" w:space="0" w:color="auto"/>
            </w:tcBorders>
            <w:shd w:val="clear" w:color="auto" w:fill="F7CAAC" w:themeFill="accent2" w:themeFillTint="66"/>
            <w:noWrap/>
            <w:hideMark/>
          </w:tcPr>
          <w:p w:rsidR="00115A2E" w:rsidRPr="00C6442C" w:rsidRDefault="00115A2E" w:rsidP="00C72B8E">
            <w:pPr>
              <w:spacing w:after="0" w:line="240" w:lineRule="auto"/>
              <w:rPr>
                <w:rFonts w:eastAsia="Times New Roman" w:cs="Arial"/>
                <w:color w:val="000000"/>
                <w:szCs w:val="20"/>
                <w:lang w:eastAsia="fr-BE"/>
              </w:rPr>
            </w:pPr>
          </w:p>
        </w:tc>
        <w:tc>
          <w:tcPr>
            <w:tcW w:w="2115" w:type="dxa"/>
            <w:vMerge/>
            <w:tcBorders>
              <w:left w:val="nil"/>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p>
        </w:tc>
        <w:tc>
          <w:tcPr>
            <w:tcW w:w="708" w:type="dxa"/>
            <w:vMerge/>
            <w:tcBorders>
              <w:left w:val="nil"/>
              <w:right w:val="single" w:sz="4" w:space="0" w:color="auto"/>
            </w:tcBorders>
            <w:shd w:val="clear" w:color="auto" w:fill="C5E0B3" w:themeFill="accent6" w:themeFillTint="66"/>
            <w:noWrap/>
            <w:hideMark/>
          </w:tcPr>
          <w:p w:rsidR="00115A2E" w:rsidRPr="00C6442C" w:rsidRDefault="00115A2E" w:rsidP="00C72B8E">
            <w:pPr>
              <w:spacing w:after="0" w:line="240" w:lineRule="auto"/>
              <w:rPr>
                <w:rFonts w:eastAsia="Times New Roman" w:cs="Arial"/>
                <w:color w:val="000000"/>
                <w:szCs w:val="20"/>
                <w:lang w:eastAsia="fr-BE"/>
              </w:rPr>
            </w:pPr>
          </w:p>
        </w:tc>
        <w:tc>
          <w:tcPr>
            <w:tcW w:w="3261" w:type="dxa"/>
            <w:vMerge/>
            <w:tcBorders>
              <w:left w:val="nil"/>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p>
        </w:tc>
        <w:tc>
          <w:tcPr>
            <w:tcW w:w="3936"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Pr>
                <w:lang w:val="fr-FR"/>
              </w:rPr>
              <w:t>Les services impliqués développent un protocole de collaboration, qui définit les rôles de chacun et les modalités de collaboration.</w:t>
            </w:r>
          </w:p>
        </w:tc>
        <w:tc>
          <w:tcPr>
            <w:tcW w:w="584"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x</w:t>
            </w:r>
          </w:p>
        </w:tc>
        <w:tc>
          <w:tcPr>
            <w:tcW w:w="584"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659"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546" w:type="dxa"/>
            <w:tcBorders>
              <w:top w:val="single" w:sz="4" w:space="0" w:color="auto"/>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tc>
      </w:tr>
      <w:tr w:rsidR="00115A2E" w:rsidRPr="00C6442C" w:rsidTr="00FA6CC1">
        <w:trPr>
          <w:trHeight w:val="254"/>
        </w:trPr>
        <w:tc>
          <w:tcPr>
            <w:tcW w:w="252"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rsidR="00115A2E" w:rsidRPr="00C6442C" w:rsidRDefault="00115A2E" w:rsidP="00C72B8E">
            <w:pPr>
              <w:spacing w:after="0" w:line="240" w:lineRule="auto"/>
              <w:rPr>
                <w:rFonts w:ascii="Arial" w:eastAsia="Times New Roman" w:hAnsi="Arial" w:cs="Arial"/>
                <w:color w:val="000000"/>
                <w:szCs w:val="20"/>
                <w:lang w:eastAsia="fr-BE"/>
              </w:rPr>
            </w:pPr>
          </w:p>
        </w:tc>
        <w:tc>
          <w:tcPr>
            <w:tcW w:w="1585" w:type="dxa"/>
            <w:vMerge/>
            <w:tcBorders>
              <w:top w:val="single" w:sz="4" w:space="0" w:color="auto"/>
              <w:left w:val="single" w:sz="4" w:space="0" w:color="auto"/>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p>
        </w:tc>
        <w:tc>
          <w:tcPr>
            <w:tcW w:w="439" w:type="dxa"/>
            <w:vMerge/>
            <w:tcBorders>
              <w:left w:val="single" w:sz="4" w:space="0" w:color="auto"/>
              <w:bottom w:val="single" w:sz="4" w:space="0" w:color="auto"/>
              <w:right w:val="single" w:sz="4" w:space="0" w:color="auto"/>
            </w:tcBorders>
            <w:shd w:val="clear" w:color="auto" w:fill="F7CAAC" w:themeFill="accent2" w:themeFillTint="66"/>
            <w:noWrap/>
            <w:hideMark/>
          </w:tcPr>
          <w:p w:rsidR="00115A2E" w:rsidRPr="00C6442C" w:rsidRDefault="00115A2E" w:rsidP="00C72B8E">
            <w:pPr>
              <w:spacing w:after="0" w:line="240" w:lineRule="auto"/>
              <w:rPr>
                <w:rFonts w:eastAsia="Times New Roman" w:cs="Arial"/>
                <w:color w:val="000000"/>
                <w:szCs w:val="20"/>
                <w:lang w:eastAsia="fr-BE"/>
              </w:rPr>
            </w:pPr>
          </w:p>
        </w:tc>
        <w:tc>
          <w:tcPr>
            <w:tcW w:w="2115" w:type="dxa"/>
            <w:vMerge/>
            <w:tcBorders>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p>
        </w:tc>
        <w:tc>
          <w:tcPr>
            <w:tcW w:w="708" w:type="dxa"/>
            <w:vMerge/>
            <w:tcBorders>
              <w:left w:val="nil"/>
              <w:bottom w:val="single" w:sz="4" w:space="0" w:color="auto"/>
              <w:right w:val="single" w:sz="4" w:space="0" w:color="auto"/>
            </w:tcBorders>
            <w:shd w:val="clear" w:color="auto" w:fill="C5E0B3" w:themeFill="accent6" w:themeFillTint="66"/>
            <w:noWrap/>
            <w:hideMark/>
          </w:tcPr>
          <w:p w:rsidR="00115A2E" w:rsidRPr="00C6442C" w:rsidRDefault="00115A2E" w:rsidP="00C72B8E">
            <w:pPr>
              <w:spacing w:after="0" w:line="240" w:lineRule="auto"/>
              <w:rPr>
                <w:rFonts w:eastAsia="Times New Roman" w:cs="Arial"/>
                <w:color w:val="000000"/>
                <w:szCs w:val="20"/>
                <w:lang w:eastAsia="fr-BE"/>
              </w:rPr>
            </w:pPr>
          </w:p>
        </w:tc>
        <w:tc>
          <w:tcPr>
            <w:tcW w:w="3261" w:type="dxa"/>
            <w:vMerge/>
            <w:tcBorders>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p>
        </w:tc>
        <w:tc>
          <w:tcPr>
            <w:tcW w:w="3936"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Pr>
                <w:lang w:val="fr-FR"/>
              </w:rPr>
              <w:t>Les personnes en situation à risque de logement repérées de manière précoce sont accompagnées vers des services d’aide aux locataires selon le protocole.</w:t>
            </w:r>
          </w:p>
        </w:tc>
        <w:tc>
          <w:tcPr>
            <w:tcW w:w="584"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x</w:t>
            </w:r>
          </w:p>
        </w:tc>
        <w:tc>
          <w:tcPr>
            <w:tcW w:w="584"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x</w:t>
            </w:r>
          </w:p>
        </w:tc>
        <w:tc>
          <w:tcPr>
            <w:tcW w:w="659" w:type="dxa"/>
            <w:tcBorders>
              <w:top w:val="nil"/>
              <w:left w:val="nil"/>
              <w:bottom w:val="single" w:sz="4" w:space="0" w:color="auto"/>
              <w:right w:val="single" w:sz="4" w:space="0" w:color="auto"/>
            </w:tcBorders>
            <w:shd w:val="clear" w:color="auto" w:fill="auto"/>
            <w:noWrap/>
            <w:hideMark/>
          </w:tcPr>
          <w:p w:rsidR="00115A2E" w:rsidRPr="00C6442C" w:rsidRDefault="00115A2E"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x</w:t>
            </w:r>
          </w:p>
        </w:tc>
        <w:tc>
          <w:tcPr>
            <w:tcW w:w="546" w:type="dxa"/>
            <w:tcBorders>
              <w:top w:val="single" w:sz="4" w:space="0" w:color="auto"/>
              <w:left w:val="nil"/>
              <w:bottom w:val="single" w:sz="4" w:space="0" w:color="auto"/>
              <w:right w:val="single" w:sz="4" w:space="0" w:color="auto"/>
            </w:tcBorders>
            <w:shd w:val="clear" w:color="auto" w:fill="auto"/>
            <w:noWrap/>
            <w:hideMark/>
          </w:tcPr>
          <w:p w:rsidR="00115A2E" w:rsidRPr="00C6442C" w:rsidRDefault="00115A2E" w:rsidP="00C72B8E">
            <w:pPr>
              <w:rPr>
                <w:lang w:eastAsia="fr-BE"/>
              </w:rPr>
            </w:pPr>
            <w:r w:rsidRPr="00C6442C">
              <w:rPr>
                <w:lang w:eastAsia="fr-BE"/>
              </w:rPr>
              <w:t> </w:t>
            </w:r>
            <w:r>
              <w:rPr>
                <w:lang w:eastAsia="fr-BE"/>
              </w:rPr>
              <w:t>x</w:t>
            </w:r>
          </w:p>
        </w:tc>
      </w:tr>
      <w:tr w:rsidR="00FA6CC1" w:rsidRPr="00C6442C" w:rsidTr="009C7494">
        <w:trPr>
          <w:trHeight w:val="139"/>
        </w:trPr>
        <w:tc>
          <w:tcPr>
            <w:tcW w:w="252"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rsidR="00FA6CC1" w:rsidRPr="00C6442C" w:rsidRDefault="00FA6CC1" w:rsidP="00C72B8E">
            <w:pPr>
              <w:spacing w:after="0" w:line="240" w:lineRule="auto"/>
              <w:rPr>
                <w:rFonts w:ascii="Arial" w:eastAsia="Times New Roman" w:hAnsi="Arial" w:cs="Arial"/>
                <w:color w:val="000000"/>
                <w:szCs w:val="20"/>
                <w:lang w:eastAsia="fr-BE"/>
              </w:rPr>
            </w:pPr>
          </w:p>
        </w:tc>
        <w:tc>
          <w:tcPr>
            <w:tcW w:w="1585" w:type="dxa"/>
            <w:vMerge/>
            <w:tcBorders>
              <w:top w:val="single" w:sz="4" w:space="0" w:color="auto"/>
              <w:left w:val="single" w:sz="4" w:space="0" w:color="auto"/>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noWrap/>
            <w:hideMark/>
          </w:tcPr>
          <w:p w:rsidR="00FA6CC1" w:rsidRPr="00C6442C" w:rsidRDefault="00FA6CC1" w:rsidP="00C72B8E">
            <w:pPr>
              <w:spacing w:after="0" w:line="240" w:lineRule="auto"/>
              <w:rPr>
                <w:rFonts w:eastAsia="Times New Roman" w:cs="Arial"/>
                <w:color w:val="000000"/>
                <w:szCs w:val="20"/>
                <w:lang w:eastAsia="fr-BE"/>
              </w:rPr>
            </w:pPr>
            <w:r>
              <w:rPr>
                <w:rFonts w:eastAsia="Times New Roman" w:cs="Arial"/>
                <w:color w:val="000000"/>
                <w:szCs w:val="20"/>
                <w:lang w:eastAsia="fr-BE"/>
              </w:rPr>
              <w:t>1.2</w:t>
            </w:r>
            <w:r w:rsidRPr="00C6442C">
              <w:rPr>
                <w:rFonts w:eastAsia="Times New Roman" w:cs="Arial"/>
                <w:color w:val="000000"/>
                <w:szCs w:val="20"/>
                <w:lang w:eastAsia="fr-BE"/>
              </w:rPr>
              <w:t> </w:t>
            </w:r>
          </w:p>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A6CC1" w:rsidRPr="009C7494" w:rsidRDefault="00FA6CC1" w:rsidP="00C72B8E">
            <w:pPr>
              <w:rPr>
                <w:b/>
                <w:lang w:eastAsia="fr-BE"/>
              </w:rPr>
            </w:pPr>
            <w:r w:rsidRPr="009C7494">
              <w:rPr>
                <w:b/>
                <w:lang w:val="fr-FR" w:eastAsia="fr-BE"/>
              </w:rPr>
              <w:t xml:space="preserve">Les personnes identifiées comme des publics spécifiquement vulnérables ou en situation à risque en matière d’expulsions domiciliaires reçoivent des réponses adaptées </w:t>
            </w:r>
            <w:r w:rsidRPr="009C7494">
              <w:rPr>
                <w:b/>
                <w:lang w:val="fr-FR" w:eastAsia="fr-BE"/>
              </w:rPr>
              <w:lastRenderedPageBreak/>
              <w:t>à leurs spécificités, avec une priorité pour les problématiques lié à la santé mentale.</w:t>
            </w:r>
            <w:r w:rsidRPr="009C7494">
              <w:rPr>
                <w:b/>
                <w:lang w:eastAsia="fr-BE"/>
              </w:rPr>
              <w:t> </w:t>
            </w:r>
          </w:p>
          <w:p w:rsidR="00FA6CC1" w:rsidRPr="009C7494" w:rsidRDefault="00FA6CC1" w:rsidP="00C72B8E">
            <w:pPr>
              <w:spacing w:after="0" w:line="240" w:lineRule="auto"/>
              <w:rPr>
                <w:b/>
                <w:lang w:eastAsia="fr-BE"/>
              </w:rPr>
            </w:pPr>
            <w:r w:rsidRPr="009C7494">
              <w:rPr>
                <w:rFonts w:eastAsia="Times New Roman" w:cs="Arial"/>
                <w:b/>
                <w:color w:val="000000"/>
                <w:szCs w:val="20"/>
                <w:lang w:eastAsia="fr-BE"/>
              </w:rPr>
              <w:t> </w:t>
            </w:r>
          </w:p>
          <w:p w:rsidR="00FA6CC1" w:rsidRPr="009C7494" w:rsidRDefault="00FA6CC1" w:rsidP="00C72B8E">
            <w:pPr>
              <w:spacing w:after="0" w:line="240" w:lineRule="auto"/>
              <w:rPr>
                <w:rFonts w:eastAsia="Times New Roman" w:cs="Arial"/>
                <w:b/>
                <w:color w:val="000000"/>
                <w:szCs w:val="20"/>
                <w:lang w:eastAsia="fr-BE"/>
              </w:rPr>
            </w:pPr>
            <w:r w:rsidRPr="009C7494">
              <w:rPr>
                <w:rFonts w:eastAsia="Times New Roman" w:cs="Arial"/>
                <w:b/>
                <w:color w:val="000000"/>
                <w:szCs w:val="20"/>
                <w:lang w:eastAsia="fr-BE"/>
              </w:rPr>
              <w:t> </w:t>
            </w:r>
          </w:p>
          <w:p w:rsidR="00FA6CC1" w:rsidRPr="009C7494" w:rsidRDefault="00FA6CC1" w:rsidP="00C72B8E">
            <w:pPr>
              <w:spacing w:after="0" w:line="240" w:lineRule="auto"/>
              <w:rPr>
                <w:rFonts w:eastAsia="Times New Roman" w:cs="Arial"/>
                <w:b/>
                <w:color w:val="000000"/>
                <w:szCs w:val="20"/>
                <w:lang w:eastAsia="fr-BE"/>
              </w:rPr>
            </w:pPr>
            <w:r w:rsidRPr="009C7494">
              <w:rPr>
                <w:rFonts w:eastAsia="Times New Roman" w:cs="Arial"/>
                <w:b/>
                <w:color w:val="000000"/>
                <w:szCs w:val="20"/>
                <w:lang w:eastAsia="fr-BE"/>
              </w:rPr>
              <w:t> </w:t>
            </w:r>
          </w:p>
          <w:p w:rsidR="00FA6CC1" w:rsidRPr="009C7494" w:rsidRDefault="00FA6CC1" w:rsidP="00C72B8E">
            <w:pPr>
              <w:spacing w:after="0" w:line="240" w:lineRule="auto"/>
              <w:rPr>
                <w:b/>
                <w:lang w:eastAsia="fr-BE"/>
              </w:rPr>
            </w:pPr>
            <w:r w:rsidRPr="009C7494">
              <w:rPr>
                <w:rFonts w:eastAsia="Times New Roman" w:cs="Arial"/>
                <w:b/>
                <w:color w:val="000000"/>
                <w:szCs w:val="20"/>
                <w:lang w:eastAsia="fr-BE"/>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lastRenderedPageBreak/>
              <w:t> </w:t>
            </w:r>
            <w:r>
              <w:rPr>
                <w:rFonts w:eastAsia="Times New Roman" w:cs="Arial"/>
                <w:color w:val="000000"/>
                <w:szCs w:val="20"/>
                <w:lang w:eastAsia="fr-BE"/>
              </w:rPr>
              <w:t>1.2.1</w:t>
            </w:r>
          </w:p>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A6CC1" w:rsidRPr="009C7494" w:rsidRDefault="00FA6CC1" w:rsidP="00C72B8E">
            <w:pPr>
              <w:spacing w:after="0" w:line="240" w:lineRule="auto"/>
              <w:rPr>
                <w:rFonts w:eastAsia="Times New Roman" w:cs="Arial"/>
                <w:b/>
                <w:color w:val="000000"/>
                <w:szCs w:val="20"/>
                <w:lang w:eastAsia="fr-BE"/>
              </w:rPr>
            </w:pPr>
            <w:r w:rsidRPr="009C7494">
              <w:rPr>
                <w:b/>
                <w:lang w:val="fr-FR"/>
              </w:rPr>
              <w:t>Les profils de personne et les situations les plus à risques en matière d’expulsions domiciliaires sont identifiées et analysées.</w:t>
            </w:r>
            <w:r w:rsidRPr="009C7494">
              <w:rPr>
                <w:rFonts w:eastAsia="Times New Roman" w:cs="Arial"/>
                <w:b/>
                <w:color w:val="000000"/>
                <w:szCs w:val="20"/>
                <w:lang w:eastAsia="fr-BE"/>
              </w:rPr>
              <w:t> </w:t>
            </w:r>
          </w:p>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3936"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FA6CC1" w:rsidRPr="009C7494" w:rsidRDefault="00FA6CC1" w:rsidP="00C72B8E">
            <w:pPr>
              <w:spacing w:after="0" w:line="240" w:lineRule="auto"/>
              <w:rPr>
                <w:rFonts w:eastAsia="Times New Roman" w:cs="Arial"/>
                <w:b/>
                <w:color w:val="000000"/>
                <w:szCs w:val="20"/>
                <w:lang w:eastAsia="fr-BE"/>
              </w:rPr>
            </w:pPr>
            <w:r w:rsidRPr="009C7494">
              <w:rPr>
                <w:b/>
                <w:lang w:val="fr-FR"/>
              </w:rPr>
              <w:t>Une analyse des données existantes du service logement du CPAS permettra d’identifier les facteurs de risques mise en miroir avec la littérature et l’émergence éventuelle d’autres profils ou situation identifiés.</w:t>
            </w:r>
          </w:p>
        </w:tc>
        <w:tc>
          <w:tcPr>
            <w:tcW w:w="584" w:type="dxa"/>
            <w:tcBorders>
              <w:top w:val="single" w:sz="4" w:space="0" w:color="auto"/>
              <w:left w:val="nil"/>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x</w:t>
            </w:r>
          </w:p>
        </w:tc>
        <w:tc>
          <w:tcPr>
            <w:tcW w:w="584" w:type="dxa"/>
            <w:tcBorders>
              <w:top w:val="single" w:sz="4" w:space="0" w:color="auto"/>
              <w:left w:val="nil"/>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659" w:type="dxa"/>
            <w:tcBorders>
              <w:top w:val="single" w:sz="4" w:space="0" w:color="auto"/>
              <w:left w:val="nil"/>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546" w:type="dxa"/>
            <w:tcBorders>
              <w:top w:val="single" w:sz="4" w:space="0" w:color="auto"/>
              <w:left w:val="nil"/>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tc>
      </w:tr>
      <w:tr w:rsidR="00FA6CC1" w:rsidRPr="00C6442C" w:rsidTr="009C7494">
        <w:trPr>
          <w:trHeight w:val="254"/>
        </w:trPr>
        <w:tc>
          <w:tcPr>
            <w:tcW w:w="252"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rsidR="00FA6CC1" w:rsidRPr="00C6442C" w:rsidRDefault="00FA6CC1" w:rsidP="00C72B8E">
            <w:pPr>
              <w:spacing w:after="0" w:line="240" w:lineRule="auto"/>
              <w:rPr>
                <w:rFonts w:ascii="Arial" w:eastAsia="Times New Roman" w:hAnsi="Arial" w:cs="Arial"/>
                <w:color w:val="000000"/>
                <w:szCs w:val="20"/>
                <w:lang w:eastAsia="fr-BE"/>
              </w:rPr>
            </w:pPr>
          </w:p>
        </w:tc>
        <w:tc>
          <w:tcPr>
            <w:tcW w:w="1585" w:type="dxa"/>
            <w:vMerge/>
            <w:tcBorders>
              <w:top w:val="single" w:sz="4" w:space="0" w:color="auto"/>
              <w:left w:val="single" w:sz="4" w:space="0" w:color="auto"/>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p>
        </w:tc>
        <w:tc>
          <w:tcPr>
            <w:tcW w:w="439" w:type="dxa"/>
            <w:vMerge/>
            <w:tcBorders>
              <w:left w:val="single" w:sz="4" w:space="0" w:color="auto"/>
              <w:bottom w:val="single" w:sz="4" w:space="0" w:color="auto"/>
              <w:right w:val="single" w:sz="4" w:space="0" w:color="auto"/>
            </w:tcBorders>
            <w:shd w:val="clear" w:color="auto" w:fill="F7CAAC" w:themeFill="accent2" w:themeFillTint="66"/>
            <w:noWrap/>
            <w:hideMark/>
          </w:tcPr>
          <w:p w:rsidR="00FA6CC1" w:rsidRPr="00C6442C" w:rsidRDefault="00FA6CC1" w:rsidP="00C72B8E">
            <w:pPr>
              <w:spacing w:after="0" w:line="240" w:lineRule="auto"/>
              <w:rPr>
                <w:rFonts w:eastAsia="Times New Roman" w:cs="Arial"/>
                <w:color w:val="000000"/>
                <w:szCs w:val="20"/>
                <w:lang w:eastAsia="fr-BE"/>
              </w:rPr>
            </w:pPr>
          </w:p>
        </w:tc>
        <w:tc>
          <w:tcPr>
            <w:tcW w:w="21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A6CC1" w:rsidRPr="00C6442C" w:rsidRDefault="00FA6CC1" w:rsidP="00C72B8E">
            <w:pPr>
              <w:spacing w:after="0" w:line="240" w:lineRule="auto"/>
              <w:rPr>
                <w:rFonts w:eastAsia="Times New Roman" w:cs="Arial"/>
                <w:color w:val="000000"/>
                <w:szCs w:val="20"/>
                <w:lang w:eastAsia="fr-BE"/>
              </w:rPr>
            </w:pPr>
          </w:p>
        </w:tc>
        <w:tc>
          <w:tcPr>
            <w:tcW w:w="70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rsidR="00FA6CC1" w:rsidRPr="00C6442C" w:rsidRDefault="00FA6CC1" w:rsidP="00C72B8E">
            <w:pPr>
              <w:spacing w:after="0" w:line="240" w:lineRule="auto"/>
              <w:rPr>
                <w:rFonts w:eastAsia="Times New Roman" w:cs="Arial"/>
                <w:color w:val="000000"/>
                <w:szCs w:val="20"/>
                <w:lang w:eastAsia="fr-BE"/>
              </w:rPr>
            </w:pPr>
          </w:p>
        </w:tc>
        <w:tc>
          <w:tcPr>
            <w:tcW w:w="326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A6CC1" w:rsidRPr="00C6442C" w:rsidRDefault="00FA6CC1" w:rsidP="00C72B8E">
            <w:pPr>
              <w:spacing w:after="0" w:line="240" w:lineRule="auto"/>
              <w:rPr>
                <w:rFonts w:eastAsia="Times New Roman" w:cs="Arial"/>
                <w:color w:val="000000"/>
                <w:szCs w:val="20"/>
                <w:lang w:eastAsia="fr-BE"/>
              </w:rPr>
            </w:pPr>
          </w:p>
        </w:tc>
        <w:tc>
          <w:tcPr>
            <w:tcW w:w="3936"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FA6CC1" w:rsidRPr="009C7494" w:rsidRDefault="00FA6CC1" w:rsidP="00C72B8E">
            <w:pPr>
              <w:spacing w:after="0" w:line="240" w:lineRule="auto"/>
              <w:rPr>
                <w:b/>
                <w:lang w:val="fr-FR"/>
              </w:rPr>
            </w:pPr>
            <w:r w:rsidRPr="009C7494">
              <w:rPr>
                <w:b/>
                <w:lang w:val="fr-FR"/>
              </w:rPr>
              <w:t xml:space="preserve">Des initiatives existantes (en Belgique et ailleurs) destinées à prévenir des expulsions domiciliaires de ces publics vulnérables et </w:t>
            </w:r>
            <w:r w:rsidRPr="009C7494">
              <w:rPr>
                <w:b/>
                <w:lang w:val="fr-FR"/>
              </w:rPr>
              <w:lastRenderedPageBreak/>
              <w:t>situations à risques sont identifiées et documentées.</w:t>
            </w:r>
          </w:p>
        </w:tc>
        <w:tc>
          <w:tcPr>
            <w:tcW w:w="584" w:type="dxa"/>
            <w:tcBorders>
              <w:top w:val="single" w:sz="4" w:space="0" w:color="auto"/>
              <w:left w:val="nil"/>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lastRenderedPageBreak/>
              <w:t> </w:t>
            </w:r>
            <w:r>
              <w:rPr>
                <w:rFonts w:eastAsia="Times New Roman" w:cs="Arial"/>
                <w:color w:val="000000"/>
                <w:szCs w:val="20"/>
                <w:lang w:eastAsia="fr-BE"/>
              </w:rPr>
              <w:t>x</w:t>
            </w:r>
          </w:p>
        </w:tc>
        <w:tc>
          <w:tcPr>
            <w:tcW w:w="584" w:type="dxa"/>
            <w:tcBorders>
              <w:top w:val="single" w:sz="4" w:space="0" w:color="auto"/>
              <w:left w:val="nil"/>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659" w:type="dxa"/>
            <w:tcBorders>
              <w:top w:val="single" w:sz="4" w:space="0" w:color="auto"/>
              <w:left w:val="nil"/>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546" w:type="dxa"/>
            <w:tcBorders>
              <w:top w:val="single" w:sz="4" w:space="0" w:color="auto"/>
              <w:left w:val="nil"/>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tc>
      </w:tr>
      <w:tr w:rsidR="00FA6CC1" w:rsidRPr="00C6442C" w:rsidTr="009C7494">
        <w:trPr>
          <w:trHeight w:val="254"/>
        </w:trPr>
        <w:tc>
          <w:tcPr>
            <w:tcW w:w="252"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rsidR="00FA6CC1" w:rsidRPr="00C6442C" w:rsidRDefault="00FA6CC1" w:rsidP="00C72B8E">
            <w:pPr>
              <w:spacing w:after="0" w:line="240" w:lineRule="auto"/>
              <w:rPr>
                <w:rFonts w:ascii="Arial" w:eastAsia="Times New Roman" w:hAnsi="Arial" w:cs="Arial"/>
                <w:color w:val="000000"/>
                <w:szCs w:val="20"/>
                <w:lang w:eastAsia="fr-BE"/>
              </w:rPr>
            </w:pPr>
          </w:p>
        </w:tc>
        <w:tc>
          <w:tcPr>
            <w:tcW w:w="1585" w:type="dxa"/>
            <w:vMerge/>
            <w:tcBorders>
              <w:top w:val="single" w:sz="4" w:space="0" w:color="auto"/>
              <w:left w:val="single" w:sz="4" w:space="0" w:color="auto"/>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p>
        </w:tc>
        <w:tc>
          <w:tcPr>
            <w:tcW w:w="439" w:type="dxa"/>
            <w:vMerge/>
            <w:tcBorders>
              <w:left w:val="single" w:sz="4" w:space="0" w:color="auto"/>
              <w:bottom w:val="single" w:sz="4" w:space="0" w:color="auto"/>
              <w:right w:val="single" w:sz="4" w:space="0" w:color="auto"/>
            </w:tcBorders>
            <w:shd w:val="clear" w:color="auto" w:fill="F7CAAC" w:themeFill="accent2" w:themeFillTint="66"/>
            <w:noWrap/>
            <w:hideMark/>
          </w:tcPr>
          <w:p w:rsidR="00FA6CC1" w:rsidRPr="00C6442C" w:rsidRDefault="00FA6CC1" w:rsidP="00C72B8E">
            <w:pPr>
              <w:spacing w:after="0" w:line="240" w:lineRule="auto"/>
              <w:rPr>
                <w:rFonts w:eastAsia="Times New Roman" w:cs="Arial"/>
                <w:color w:val="000000"/>
                <w:szCs w:val="20"/>
                <w:lang w:eastAsia="fr-BE"/>
              </w:rPr>
            </w:pPr>
          </w:p>
        </w:tc>
        <w:tc>
          <w:tcPr>
            <w:tcW w:w="21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A6CC1" w:rsidRPr="00C6442C" w:rsidRDefault="00FA6CC1" w:rsidP="00C72B8E">
            <w:pPr>
              <w:spacing w:after="0" w:line="240" w:lineRule="auto"/>
              <w:rPr>
                <w:rFonts w:eastAsia="Times New Roman" w:cs="Arial"/>
                <w:color w:val="000000"/>
                <w:szCs w:val="20"/>
                <w:lang w:eastAsia="fr-BE"/>
              </w:rPr>
            </w:pPr>
          </w:p>
        </w:tc>
        <w:tc>
          <w:tcPr>
            <w:tcW w:w="708" w:type="dxa"/>
            <w:vMerge w:val="restart"/>
            <w:tcBorders>
              <w:top w:val="single" w:sz="4" w:space="0" w:color="auto"/>
              <w:left w:val="single" w:sz="4" w:space="0" w:color="auto"/>
              <w:right w:val="single" w:sz="4" w:space="0" w:color="auto"/>
            </w:tcBorders>
            <w:shd w:val="clear" w:color="auto" w:fill="C5E0B3" w:themeFill="accent6" w:themeFillTint="66"/>
            <w:noWrap/>
            <w:hideMark/>
          </w:tcPr>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1.2.2</w:t>
            </w:r>
          </w:p>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FA6CC1" w:rsidRPr="00C6442C" w:rsidRDefault="00FA6CC1" w:rsidP="00FA6CC1">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A6CC1" w:rsidRPr="009C7494" w:rsidRDefault="00FA6CC1" w:rsidP="00C72B8E">
            <w:pPr>
              <w:rPr>
                <w:b/>
                <w:lang w:val="fr-FR"/>
              </w:rPr>
            </w:pPr>
            <w:r w:rsidRPr="009C7494">
              <w:rPr>
                <w:b/>
                <w:lang w:val="fr-FR"/>
              </w:rPr>
              <w:t>Les professionnels des services d’aide aux locataires et de services sociaux et de santé établissent des collaborations pour assurer un encadrement et un suivi adapté et suffisant aux profils et situations qui ont été identifiées, avec une priorité pour les p</w:t>
            </w:r>
            <w:r w:rsidR="009C7494">
              <w:rPr>
                <w:b/>
                <w:lang w:val="fr-FR"/>
              </w:rPr>
              <w:t xml:space="preserve">roblématiques de santé mentale </w:t>
            </w:r>
            <w:r w:rsidRPr="009C7494">
              <w:rPr>
                <w:b/>
                <w:lang w:val="fr-FR"/>
              </w:rPr>
              <w:t xml:space="preserve">. </w:t>
            </w:r>
          </w:p>
          <w:p w:rsidR="00FA6CC1" w:rsidRPr="009C7494" w:rsidRDefault="00FA6CC1" w:rsidP="00C72B8E">
            <w:pPr>
              <w:spacing w:after="0" w:line="240" w:lineRule="auto"/>
              <w:rPr>
                <w:rFonts w:eastAsia="Times New Roman" w:cs="Arial"/>
                <w:b/>
                <w:color w:val="000000"/>
                <w:szCs w:val="20"/>
                <w:lang w:eastAsia="fr-BE"/>
              </w:rPr>
            </w:pPr>
            <w:r w:rsidRPr="009C7494">
              <w:rPr>
                <w:rFonts w:eastAsia="Times New Roman" w:cs="Arial"/>
                <w:b/>
                <w:color w:val="000000"/>
                <w:szCs w:val="20"/>
                <w:lang w:eastAsia="fr-BE"/>
              </w:rPr>
              <w:t> </w:t>
            </w:r>
          </w:p>
          <w:p w:rsidR="00FA6CC1" w:rsidRPr="009C7494" w:rsidRDefault="00FA6CC1" w:rsidP="00C72B8E">
            <w:pPr>
              <w:spacing w:after="0" w:line="240" w:lineRule="auto"/>
              <w:rPr>
                <w:b/>
                <w:lang w:val="fr-FR"/>
              </w:rPr>
            </w:pPr>
            <w:r w:rsidRPr="009C7494">
              <w:rPr>
                <w:rFonts w:eastAsia="Times New Roman" w:cs="Arial"/>
                <w:b/>
                <w:color w:val="000000"/>
                <w:szCs w:val="20"/>
                <w:lang w:eastAsia="fr-BE"/>
              </w:rPr>
              <w:t> </w:t>
            </w:r>
          </w:p>
        </w:tc>
        <w:tc>
          <w:tcPr>
            <w:tcW w:w="3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A6CC1" w:rsidRPr="009C7494" w:rsidRDefault="00FA6CC1" w:rsidP="00C72B8E">
            <w:pPr>
              <w:spacing w:after="0" w:line="240" w:lineRule="auto"/>
              <w:rPr>
                <w:rFonts w:eastAsia="Times New Roman" w:cs="Arial"/>
                <w:b/>
                <w:color w:val="000000"/>
                <w:szCs w:val="20"/>
                <w:lang w:eastAsia="fr-BE"/>
              </w:rPr>
            </w:pPr>
            <w:r w:rsidRPr="009C7494">
              <w:rPr>
                <w:b/>
                <w:lang w:val="fr-FR"/>
              </w:rPr>
              <w:t>Des rencontres sont organisées entre les secteurs concernés par ces publics et des services d’aide aux locataires, avec pour objectif : d’apprendre à se connaître (rôles, missions, moyens), identifier les difficultés de chacun, et d’élaborer des solutions communes.</w:t>
            </w:r>
          </w:p>
        </w:tc>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x</w:t>
            </w:r>
          </w:p>
        </w:tc>
        <w:tc>
          <w:tcPr>
            <w:tcW w:w="584" w:type="dxa"/>
            <w:tcBorders>
              <w:top w:val="single" w:sz="4" w:space="0" w:color="auto"/>
              <w:left w:val="nil"/>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x</w:t>
            </w:r>
          </w:p>
        </w:tc>
        <w:tc>
          <w:tcPr>
            <w:tcW w:w="659" w:type="dxa"/>
            <w:tcBorders>
              <w:top w:val="single" w:sz="4" w:space="0" w:color="auto"/>
              <w:left w:val="nil"/>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546" w:type="dxa"/>
            <w:tcBorders>
              <w:top w:val="single" w:sz="4" w:space="0" w:color="auto"/>
              <w:left w:val="nil"/>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ascii="Arial" w:eastAsia="Times New Roman" w:hAnsi="Arial" w:cs="Arial"/>
                <w:color w:val="000000"/>
                <w:szCs w:val="20"/>
                <w:lang w:eastAsia="fr-BE"/>
              </w:rPr>
            </w:pPr>
            <w:r w:rsidRPr="00C6442C">
              <w:rPr>
                <w:rFonts w:ascii="Arial" w:eastAsia="Times New Roman" w:hAnsi="Arial" w:cs="Arial"/>
                <w:color w:val="000000"/>
                <w:szCs w:val="20"/>
                <w:lang w:eastAsia="fr-BE"/>
              </w:rPr>
              <w:t> </w:t>
            </w:r>
          </w:p>
        </w:tc>
      </w:tr>
      <w:tr w:rsidR="00FA6CC1" w:rsidRPr="00C6442C" w:rsidTr="009C7494">
        <w:trPr>
          <w:trHeight w:val="254"/>
        </w:trPr>
        <w:tc>
          <w:tcPr>
            <w:tcW w:w="252"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rsidR="00FA6CC1" w:rsidRPr="00C6442C" w:rsidRDefault="00FA6CC1" w:rsidP="00C72B8E">
            <w:pPr>
              <w:spacing w:after="0" w:line="240" w:lineRule="auto"/>
              <w:rPr>
                <w:rFonts w:ascii="Arial" w:eastAsia="Times New Roman" w:hAnsi="Arial" w:cs="Arial"/>
                <w:color w:val="000000"/>
                <w:szCs w:val="20"/>
                <w:lang w:eastAsia="fr-BE"/>
              </w:rPr>
            </w:pPr>
          </w:p>
        </w:tc>
        <w:tc>
          <w:tcPr>
            <w:tcW w:w="1585" w:type="dxa"/>
            <w:vMerge/>
            <w:tcBorders>
              <w:top w:val="single" w:sz="4" w:space="0" w:color="auto"/>
              <w:left w:val="single" w:sz="4" w:space="0" w:color="auto"/>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p>
        </w:tc>
        <w:tc>
          <w:tcPr>
            <w:tcW w:w="439" w:type="dxa"/>
            <w:vMerge/>
            <w:tcBorders>
              <w:left w:val="single" w:sz="4" w:space="0" w:color="auto"/>
              <w:bottom w:val="single" w:sz="4" w:space="0" w:color="auto"/>
              <w:right w:val="single" w:sz="4" w:space="0" w:color="auto"/>
            </w:tcBorders>
            <w:shd w:val="clear" w:color="auto" w:fill="F7CAAC" w:themeFill="accent2" w:themeFillTint="66"/>
            <w:noWrap/>
            <w:hideMark/>
          </w:tcPr>
          <w:p w:rsidR="00FA6CC1" w:rsidRPr="00C6442C" w:rsidRDefault="00FA6CC1" w:rsidP="00C72B8E">
            <w:pPr>
              <w:spacing w:after="0" w:line="240" w:lineRule="auto"/>
              <w:rPr>
                <w:rFonts w:eastAsia="Times New Roman" w:cs="Arial"/>
                <w:color w:val="000000"/>
                <w:szCs w:val="20"/>
                <w:lang w:eastAsia="fr-BE"/>
              </w:rPr>
            </w:pPr>
          </w:p>
        </w:tc>
        <w:tc>
          <w:tcPr>
            <w:tcW w:w="21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A6CC1" w:rsidRPr="00C6442C" w:rsidRDefault="00FA6CC1" w:rsidP="00C72B8E">
            <w:pPr>
              <w:spacing w:after="0" w:line="240" w:lineRule="auto"/>
              <w:rPr>
                <w:rFonts w:eastAsia="Times New Roman" w:cs="Arial"/>
                <w:color w:val="000000"/>
                <w:szCs w:val="20"/>
                <w:lang w:eastAsia="fr-BE"/>
              </w:rPr>
            </w:pPr>
          </w:p>
        </w:tc>
        <w:tc>
          <w:tcPr>
            <w:tcW w:w="708" w:type="dxa"/>
            <w:vMerge/>
            <w:tcBorders>
              <w:left w:val="single" w:sz="4" w:space="0" w:color="auto"/>
              <w:right w:val="single" w:sz="4" w:space="0" w:color="auto"/>
            </w:tcBorders>
            <w:shd w:val="clear" w:color="auto" w:fill="C5E0B3" w:themeFill="accent6" w:themeFillTint="66"/>
            <w:noWrap/>
            <w:hideMark/>
          </w:tcPr>
          <w:p w:rsidR="00FA6CC1" w:rsidRPr="00C6442C" w:rsidRDefault="00FA6CC1" w:rsidP="00C72B8E">
            <w:pPr>
              <w:spacing w:after="0" w:line="240" w:lineRule="auto"/>
              <w:rPr>
                <w:rFonts w:eastAsia="Times New Roman" w:cs="Arial"/>
                <w:color w:val="000000"/>
                <w:szCs w:val="20"/>
                <w:lang w:eastAsia="fr-BE"/>
              </w:rPr>
            </w:pPr>
          </w:p>
        </w:tc>
        <w:tc>
          <w:tcPr>
            <w:tcW w:w="326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A6CC1" w:rsidRPr="00C6442C" w:rsidRDefault="00FA6CC1" w:rsidP="00C72B8E">
            <w:pPr>
              <w:spacing w:after="0" w:line="240" w:lineRule="auto"/>
              <w:rPr>
                <w:rFonts w:eastAsia="Times New Roman" w:cs="Arial"/>
                <w:color w:val="000000"/>
                <w:szCs w:val="20"/>
                <w:lang w:eastAsia="fr-BE"/>
              </w:rPr>
            </w:pPr>
          </w:p>
        </w:tc>
        <w:tc>
          <w:tcPr>
            <w:tcW w:w="3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A6CC1" w:rsidRPr="009C7494" w:rsidRDefault="00FA6CC1" w:rsidP="00C72B8E">
            <w:pPr>
              <w:spacing w:after="0" w:line="240" w:lineRule="auto"/>
              <w:rPr>
                <w:rFonts w:eastAsia="Times New Roman" w:cs="Arial"/>
                <w:b/>
                <w:color w:val="000000"/>
                <w:szCs w:val="20"/>
                <w:lang w:eastAsia="fr-BE"/>
              </w:rPr>
            </w:pPr>
            <w:r w:rsidRPr="009C7494">
              <w:rPr>
                <w:rFonts w:eastAsia="Times New Roman" w:cs="Arial"/>
                <w:b/>
                <w:color w:val="000000"/>
                <w:szCs w:val="20"/>
                <w:lang w:eastAsia="fr-BE"/>
              </w:rPr>
              <w:t> </w:t>
            </w:r>
            <w:r w:rsidRPr="009C7494">
              <w:rPr>
                <w:b/>
                <w:lang w:val="fr-FR"/>
              </w:rPr>
              <w:t>Dans un deuxième temps, des séances d’intervision sont organisées entre ces services autour de situations concrètes pour coordonner leur action avec un intervenant de référence pour le réseau. Ces séances priorisent trois publics (personne avec un passé carcéral, personne avec troubles de santé mentale, et situations de violence intrafamiliale), à titre pilote.</w:t>
            </w:r>
          </w:p>
        </w:tc>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x</w:t>
            </w:r>
          </w:p>
        </w:tc>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FA6CC1" w:rsidRPr="00C6442C" w:rsidRDefault="00FA6CC1" w:rsidP="00C72B8E">
            <w:pPr>
              <w:spacing w:after="0" w:line="240" w:lineRule="auto"/>
              <w:rPr>
                <w:rFonts w:eastAsia="Times New Roman" w:cs="Arial"/>
                <w:color w:val="000000"/>
                <w:szCs w:val="20"/>
                <w:lang w:eastAsia="fr-BE"/>
              </w:rPr>
            </w:pPr>
            <w:r>
              <w:rPr>
                <w:rFonts w:eastAsia="Times New Roman" w:cs="Arial"/>
                <w:color w:val="000000"/>
                <w:szCs w:val="20"/>
                <w:lang w:eastAsia="fr-BE"/>
              </w:rPr>
              <w:t>x</w:t>
            </w:r>
            <w:r w:rsidRPr="00C6442C">
              <w:rPr>
                <w:rFonts w:eastAsia="Times New Roman" w:cs="Arial"/>
                <w:color w:val="000000"/>
                <w:szCs w:val="20"/>
                <w:lang w:eastAsia="fr-BE"/>
              </w:rPr>
              <w:t> </w:t>
            </w:r>
          </w:p>
        </w:tc>
        <w:tc>
          <w:tcPr>
            <w:tcW w:w="659" w:type="dxa"/>
            <w:tcBorders>
              <w:top w:val="single" w:sz="4" w:space="0" w:color="auto"/>
              <w:left w:val="single" w:sz="4" w:space="0" w:color="auto"/>
              <w:bottom w:val="single" w:sz="4" w:space="0" w:color="auto"/>
              <w:right w:val="single" w:sz="4" w:space="0" w:color="auto"/>
            </w:tcBorders>
            <w:shd w:val="clear" w:color="auto" w:fill="auto"/>
            <w:noWrap/>
          </w:tcPr>
          <w:p w:rsidR="00FA6CC1" w:rsidRPr="00C6442C" w:rsidRDefault="00FA6CC1" w:rsidP="00C72B8E">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FA6CC1" w:rsidRPr="00C6442C" w:rsidRDefault="00FA6CC1" w:rsidP="00C72B8E">
            <w:pPr>
              <w:rPr>
                <w:lang w:eastAsia="fr-BE"/>
              </w:rPr>
            </w:pPr>
          </w:p>
        </w:tc>
      </w:tr>
      <w:tr w:rsidR="00FA6CC1" w:rsidRPr="00C6442C" w:rsidTr="00FA6CC1">
        <w:trPr>
          <w:trHeight w:val="702"/>
        </w:trPr>
        <w:tc>
          <w:tcPr>
            <w:tcW w:w="252"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rsidR="00FA6CC1" w:rsidRPr="00C6442C" w:rsidRDefault="00FA6CC1" w:rsidP="00C72B8E">
            <w:pPr>
              <w:spacing w:after="0" w:line="240" w:lineRule="auto"/>
              <w:rPr>
                <w:rFonts w:ascii="Arial" w:eastAsia="Times New Roman" w:hAnsi="Arial" w:cs="Arial"/>
                <w:color w:val="000000"/>
                <w:szCs w:val="20"/>
                <w:lang w:eastAsia="fr-BE"/>
              </w:rPr>
            </w:pPr>
          </w:p>
        </w:tc>
        <w:tc>
          <w:tcPr>
            <w:tcW w:w="1585" w:type="dxa"/>
            <w:tcBorders>
              <w:top w:val="single" w:sz="4" w:space="0" w:color="auto"/>
              <w:left w:val="single" w:sz="4" w:space="0" w:color="auto"/>
              <w:bottom w:val="single" w:sz="4" w:space="0" w:color="auto"/>
              <w:right w:val="single" w:sz="4" w:space="0" w:color="auto"/>
            </w:tcBorders>
            <w:shd w:val="clear" w:color="auto" w:fill="auto"/>
            <w:noWrap/>
          </w:tcPr>
          <w:p w:rsidR="00FA6CC1" w:rsidRPr="00C6442C" w:rsidRDefault="00FA6CC1" w:rsidP="00C72B8E">
            <w:pPr>
              <w:spacing w:after="0" w:line="240" w:lineRule="auto"/>
              <w:rPr>
                <w:rFonts w:eastAsia="Times New Roman" w:cs="Arial"/>
                <w:color w:val="000000"/>
                <w:szCs w:val="20"/>
                <w:lang w:eastAsia="fr-BE"/>
              </w:rPr>
            </w:pPr>
          </w:p>
        </w:tc>
        <w:tc>
          <w:tcPr>
            <w:tcW w:w="439" w:type="dxa"/>
            <w:vMerge/>
            <w:tcBorders>
              <w:left w:val="single" w:sz="4" w:space="0" w:color="auto"/>
              <w:bottom w:val="single" w:sz="4" w:space="0" w:color="auto"/>
              <w:right w:val="single" w:sz="4" w:space="0" w:color="auto"/>
            </w:tcBorders>
            <w:shd w:val="clear" w:color="auto" w:fill="F7CAAC" w:themeFill="accent2" w:themeFillTint="66"/>
            <w:noWrap/>
          </w:tcPr>
          <w:p w:rsidR="00FA6CC1" w:rsidRPr="00C6442C" w:rsidRDefault="00FA6CC1" w:rsidP="00C72B8E">
            <w:pPr>
              <w:spacing w:after="0" w:line="240" w:lineRule="auto"/>
              <w:rPr>
                <w:rFonts w:eastAsia="Times New Roman" w:cs="Arial"/>
                <w:color w:val="000000"/>
                <w:szCs w:val="20"/>
                <w:lang w:eastAsia="fr-BE"/>
              </w:rPr>
            </w:pPr>
          </w:p>
        </w:tc>
        <w:tc>
          <w:tcPr>
            <w:tcW w:w="2115" w:type="dxa"/>
            <w:tcBorders>
              <w:top w:val="single" w:sz="4" w:space="0" w:color="auto"/>
              <w:left w:val="single" w:sz="4" w:space="0" w:color="auto"/>
              <w:bottom w:val="single" w:sz="4" w:space="0" w:color="auto"/>
              <w:right w:val="single" w:sz="4" w:space="0" w:color="auto"/>
            </w:tcBorders>
            <w:shd w:val="clear" w:color="auto" w:fill="auto"/>
            <w:noWrap/>
          </w:tcPr>
          <w:p w:rsidR="00FA6CC1" w:rsidRPr="00C6442C" w:rsidRDefault="00FA6CC1" w:rsidP="00C72B8E">
            <w:pPr>
              <w:spacing w:after="0" w:line="240" w:lineRule="auto"/>
              <w:rPr>
                <w:rFonts w:eastAsia="Times New Roman" w:cs="Arial"/>
                <w:color w:val="000000"/>
                <w:szCs w:val="20"/>
                <w:lang w:eastAsia="fr-BE"/>
              </w:rPr>
            </w:pPr>
          </w:p>
        </w:tc>
        <w:tc>
          <w:tcPr>
            <w:tcW w:w="708" w:type="dxa"/>
            <w:vMerge/>
            <w:tcBorders>
              <w:left w:val="single" w:sz="4" w:space="0" w:color="auto"/>
              <w:bottom w:val="single" w:sz="4" w:space="0" w:color="auto"/>
              <w:right w:val="single" w:sz="4" w:space="0" w:color="auto"/>
            </w:tcBorders>
            <w:shd w:val="clear" w:color="auto" w:fill="C5E0B3" w:themeFill="accent6" w:themeFillTint="66"/>
            <w:noWrap/>
          </w:tcPr>
          <w:p w:rsidR="00FA6CC1" w:rsidRPr="00C6442C" w:rsidRDefault="00FA6CC1" w:rsidP="00C72B8E">
            <w:pPr>
              <w:spacing w:after="0" w:line="240" w:lineRule="auto"/>
              <w:rPr>
                <w:rFonts w:eastAsia="Times New Roman" w:cs="Arial"/>
                <w:color w:val="000000"/>
                <w:szCs w:val="20"/>
                <w:lang w:eastAsia="fr-BE"/>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FA6CC1" w:rsidRPr="00287731" w:rsidRDefault="00FA6CC1" w:rsidP="00C72B8E">
            <w:pPr>
              <w:spacing w:after="0" w:line="240" w:lineRule="auto"/>
              <w:rPr>
                <w:rFonts w:eastAsia="Times New Roman" w:cs="Arial"/>
                <w:color w:val="000000"/>
                <w:szCs w:val="20"/>
                <w:lang w:val="fr-FR" w:eastAsia="fr-BE"/>
              </w:rPr>
            </w:pPr>
          </w:p>
        </w:tc>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FA6CC1" w:rsidRPr="00287731" w:rsidRDefault="00C652D8" w:rsidP="00C72B8E">
            <w:pPr>
              <w:spacing w:after="0" w:line="240" w:lineRule="auto"/>
            </w:pPr>
            <w:r w:rsidRPr="00C652D8">
              <w:rPr>
                <w:b/>
                <w:i/>
                <w:lang w:val="fr-FR"/>
              </w:rPr>
              <w:t>A Anneessens,</w:t>
            </w:r>
            <w:r>
              <w:rPr>
                <w:lang w:val="fr-FR"/>
              </w:rPr>
              <w:t xml:space="preserve"> </w:t>
            </w:r>
            <w:r w:rsidR="00734887">
              <w:rPr>
                <w:lang w:val="fr-FR"/>
              </w:rPr>
              <w:t>un dispositif d’information et d’accompagnement des personnes en situation ou à risque de conflit locatif est mis en place, avec une spécificité pour les personnes particulièrement vulnérables identifiées dans les constats (problèmes liés à la santé mentale)</w:t>
            </w:r>
          </w:p>
        </w:tc>
        <w:tc>
          <w:tcPr>
            <w:tcW w:w="584" w:type="dxa"/>
            <w:tcBorders>
              <w:top w:val="single" w:sz="4" w:space="0" w:color="auto"/>
              <w:left w:val="nil"/>
              <w:bottom w:val="single" w:sz="4" w:space="0" w:color="auto"/>
              <w:right w:val="single" w:sz="4" w:space="0" w:color="auto"/>
            </w:tcBorders>
            <w:shd w:val="clear" w:color="auto" w:fill="auto"/>
            <w:noWrap/>
          </w:tcPr>
          <w:p w:rsidR="00FA6CC1" w:rsidRPr="00C6442C" w:rsidRDefault="00FA6CC1" w:rsidP="00C72B8E">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584" w:type="dxa"/>
            <w:tcBorders>
              <w:top w:val="single" w:sz="4" w:space="0" w:color="auto"/>
              <w:left w:val="nil"/>
              <w:bottom w:val="single" w:sz="4" w:space="0" w:color="auto"/>
              <w:right w:val="single" w:sz="4" w:space="0" w:color="auto"/>
            </w:tcBorders>
            <w:shd w:val="clear" w:color="auto" w:fill="auto"/>
            <w:noWrap/>
          </w:tcPr>
          <w:p w:rsidR="00FA6CC1" w:rsidRDefault="00FA6CC1" w:rsidP="00C72B8E">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659" w:type="dxa"/>
            <w:tcBorders>
              <w:top w:val="single" w:sz="4" w:space="0" w:color="auto"/>
              <w:left w:val="nil"/>
              <w:bottom w:val="single" w:sz="4" w:space="0" w:color="auto"/>
              <w:right w:val="single" w:sz="4" w:space="0" w:color="auto"/>
            </w:tcBorders>
            <w:shd w:val="clear" w:color="auto" w:fill="auto"/>
            <w:noWrap/>
          </w:tcPr>
          <w:p w:rsidR="00FA6CC1" w:rsidRDefault="00FA6CC1" w:rsidP="00C72B8E">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546" w:type="dxa"/>
            <w:tcBorders>
              <w:top w:val="single" w:sz="4" w:space="0" w:color="auto"/>
              <w:left w:val="nil"/>
              <w:bottom w:val="single" w:sz="4" w:space="0" w:color="auto"/>
              <w:right w:val="single" w:sz="4" w:space="0" w:color="auto"/>
            </w:tcBorders>
            <w:shd w:val="clear" w:color="auto" w:fill="auto"/>
            <w:noWrap/>
          </w:tcPr>
          <w:p w:rsidR="00FA6CC1" w:rsidRPr="00C6442C" w:rsidRDefault="00FA6CC1" w:rsidP="00C72B8E">
            <w:pPr>
              <w:spacing w:after="0" w:line="240" w:lineRule="auto"/>
              <w:rPr>
                <w:rFonts w:ascii="Arial" w:eastAsia="Times New Roman" w:hAnsi="Arial" w:cs="Arial"/>
                <w:color w:val="000000"/>
                <w:szCs w:val="20"/>
                <w:lang w:eastAsia="fr-BE"/>
              </w:rPr>
            </w:pPr>
            <w:r>
              <w:rPr>
                <w:rFonts w:ascii="Arial" w:eastAsia="Times New Roman" w:hAnsi="Arial" w:cs="Arial"/>
                <w:color w:val="000000"/>
                <w:szCs w:val="20"/>
                <w:lang w:eastAsia="fr-BE"/>
              </w:rPr>
              <w:t>x</w:t>
            </w:r>
          </w:p>
        </w:tc>
      </w:tr>
    </w:tbl>
    <w:p w:rsidR="006B52D2" w:rsidRPr="006B52D2" w:rsidRDefault="006B52D2" w:rsidP="006B52D2">
      <w:pPr>
        <w:rPr>
          <w:b/>
          <w:i/>
        </w:rPr>
      </w:pPr>
    </w:p>
    <w:p w:rsidR="001C4A93" w:rsidRDefault="001C4A93">
      <w:pPr>
        <w:rPr>
          <w:b/>
        </w:rPr>
      </w:pPr>
      <w:r>
        <w:rPr>
          <w:b/>
        </w:rPr>
        <w:br w:type="page"/>
      </w:r>
    </w:p>
    <w:p w:rsidR="006B52D2" w:rsidRPr="00071790" w:rsidRDefault="00E21141" w:rsidP="00F947B2">
      <w:pPr>
        <w:pBdr>
          <w:top w:val="single" w:sz="4" w:space="1" w:color="auto"/>
          <w:left w:val="single" w:sz="4" w:space="4" w:color="auto"/>
          <w:bottom w:val="single" w:sz="4" w:space="2" w:color="auto"/>
          <w:right w:val="single" w:sz="4" w:space="4" w:color="auto"/>
        </w:pBdr>
        <w:shd w:val="clear" w:color="auto" w:fill="FFE599" w:themeFill="accent4" w:themeFillTint="66"/>
        <w:ind w:right="797"/>
        <w:rPr>
          <w:b/>
        </w:rPr>
      </w:pPr>
      <w:r w:rsidRPr="00071790">
        <w:rPr>
          <w:b/>
        </w:rPr>
        <w:lastRenderedPageBreak/>
        <w:t xml:space="preserve">Thématique </w:t>
      </w:r>
      <w:r w:rsidR="006B52D2" w:rsidRPr="00071790">
        <w:rPr>
          <w:b/>
        </w:rPr>
        <w:t>2 : l’accès aux services sociaux et de santé</w:t>
      </w:r>
    </w:p>
    <w:p w:rsidR="00A1262D" w:rsidRPr="006B52D2" w:rsidRDefault="00A1262D" w:rsidP="00A1262D">
      <w:pPr>
        <w:rPr>
          <w:b/>
          <w:i/>
        </w:rPr>
      </w:pPr>
      <w:r w:rsidRPr="006B52D2">
        <w:rPr>
          <w:b/>
          <w:i/>
        </w:rPr>
        <w:t xml:space="preserve">Les objectifs en </w:t>
      </w:r>
      <w:r>
        <w:rPr>
          <w:b/>
          <w:i/>
        </w:rPr>
        <w:t>gris</w:t>
      </w:r>
      <w:r w:rsidRPr="006B52D2">
        <w:rPr>
          <w:b/>
          <w:i/>
        </w:rPr>
        <w:t xml:space="preserve"> </w:t>
      </w:r>
      <w:r w:rsidR="009A0430">
        <w:rPr>
          <w:b/>
          <w:i/>
        </w:rPr>
        <w:t xml:space="preserve"> et en gras </w:t>
      </w:r>
      <w:r w:rsidRPr="006B52D2">
        <w:rPr>
          <w:b/>
          <w:i/>
        </w:rPr>
        <w:t xml:space="preserve">sont ceux qui seront pilotés par le CPAS et ne </w:t>
      </w:r>
      <w:r>
        <w:rPr>
          <w:b/>
          <w:i/>
        </w:rPr>
        <w:t>feront pas l’objet de l’appel à projets.</w:t>
      </w:r>
    </w:p>
    <w:tbl>
      <w:tblP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
        <w:gridCol w:w="1585"/>
        <w:gridCol w:w="439"/>
        <w:gridCol w:w="2115"/>
        <w:gridCol w:w="708"/>
        <w:gridCol w:w="3119"/>
        <w:gridCol w:w="4078"/>
        <w:gridCol w:w="584"/>
        <w:gridCol w:w="584"/>
        <w:gridCol w:w="659"/>
        <w:gridCol w:w="546"/>
      </w:tblGrid>
      <w:tr w:rsidR="00F947B2" w:rsidRPr="00F947B2" w:rsidTr="00F947B2">
        <w:trPr>
          <w:trHeight w:val="254"/>
        </w:trPr>
        <w:tc>
          <w:tcPr>
            <w:tcW w:w="1837" w:type="dxa"/>
            <w:gridSpan w:val="2"/>
            <w:shd w:val="clear" w:color="auto" w:fill="FFE599" w:themeFill="accent4" w:themeFillTint="66"/>
            <w:noWrap/>
            <w:hideMark/>
          </w:tcPr>
          <w:p w:rsidR="00D32D5F" w:rsidRPr="00F947B2" w:rsidRDefault="00D32D5F" w:rsidP="000D79CB">
            <w:pPr>
              <w:spacing w:after="0" w:line="240" w:lineRule="auto"/>
              <w:jc w:val="center"/>
              <w:rPr>
                <w:rFonts w:eastAsia="Times New Roman" w:cs="Arial"/>
                <w:b/>
                <w:szCs w:val="20"/>
                <w:lang w:eastAsia="fr-BE"/>
              </w:rPr>
            </w:pPr>
            <w:r w:rsidRPr="00F947B2">
              <w:rPr>
                <w:rFonts w:eastAsia="Times New Roman" w:cs="Arial"/>
                <w:b/>
                <w:szCs w:val="20"/>
                <w:lang w:eastAsia="fr-BE"/>
              </w:rPr>
              <w:t>Objectif général</w:t>
            </w:r>
          </w:p>
        </w:tc>
        <w:tc>
          <w:tcPr>
            <w:tcW w:w="2554" w:type="dxa"/>
            <w:gridSpan w:val="2"/>
            <w:shd w:val="clear" w:color="auto" w:fill="F7CAAC" w:themeFill="accent2" w:themeFillTint="66"/>
            <w:noWrap/>
            <w:hideMark/>
          </w:tcPr>
          <w:p w:rsidR="00D32D5F" w:rsidRPr="00F947B2" w:rsidRDefault="00D32D5F" w:rsidP="000D79CB">
            <w:pPr>
              <w:spacing w:after="0" w:line="240" w:lineRule="auto"/>
              <w:jc w:val="center"/>
              <w:rPr>
                <w:rFonts w:eastAsia="Times New Roman" w:cs="Arial"/>
                <w:b/>
                <w:szCs w:val="20"/>
                <w:lang w:eastAsia="fr-BE"/>
              </w:rPr>
            </w:pPr>
            <w:r w:rsidRPr="00F947B2">
              <w:rPr>
                <w:rFonts w:eastAsia="Times New Roman" w:cs="Arial"/>
                <w:b/>
                <w:szCs w:val="20"/>
                <w:lang w:eastAsia="fr-BE"/>
              </w:rPr>
              <w:t>Objectifs intermédiaires</w:t>
            </w:r>
          </w:p>
        </w:tc>
        <w:tc>
          <w:tcPr>
            <w:tcW w:w="3827" w:type="dxa"/>
            <w:gridSpan w:val="2"/>
            <w:shd w:val="clear" w:color="auto" w:fill="C5E0B3" w:themeFill="accent6" w:themeFillTint="66"/>
            <w:noWrap/>
            <w:hideMark/>
          </w:tcPr>
          <w:p w:rsidR="00D32D5F" w:rsidRPr="00F947B2" w:rsidRDefault="00D32D5F" w:rsidP="000D79CB">
            <w:pPr>
              <w:spacing w:after="0" w:line="240" w:lineRule="auto"/>
              <w:jc w:val="center"/>
              <w:rPr>
                <w:rFonts w:eastAsia="Times New Roman" w:cs="Arial"/>
                <w:b/>
                <w:szCs w:val="20"/>
                <w:lang w:eastAsia="fr-BE"/>
              </w:rPr>
            </w:pPr>
            <w:r w:rsidRPr="00F947B2">
              <w:rPr>
                <w:rFonts w:eastAsia="Times New Roman" w:cs="Arial"/>
                <w:b/>
                <w:szCs w:val="20"/>
                <w:lang w:eastAsia="fr-BE"/>
              </w:rPr>
              <w:t>Objectifs opérationnels</w:t>
            </w:r>
          </w:p>
        </w:tc>
        <w:tc>
          <w:tcPr>
            <w:tcW w:w="4078" w:type="dxa"/>
            <w:shd w:val="clear" w:color="auto" w:fill="auto"/>
            <w:noWrap/>
            <w:hideMark/>
          </w:tcPr>
          <w:p w:rsidR="00D32D5F" w:rsidRPr="00F947B2" w:rsidRDefault="00D32D5F" w:rsidP="000D79CB">
            <w:pPr>
              <w:spacing w:after="0" w:line="240" w:lineRule="auto"/>
              <w:jc w:val="center"/>
              <w:rPr>
                <w:rFonts w:eastAsia="Times New Roman" w:cs="Arial"/>
                <w:b/>
                <w:szCs w:val="20"/>
                <w:lang w:eastAsia="fr-BE"/>
              </w:rPr>
            </w:pPr>
            <w:r w:rsidRPr="00F947B2">
              <w:rPr>
                <w:rFonts w:eastAsia="Times New Roman" w:cs="Arial"/>
                <w:b/>
                <w:szCs w:val="20"/>
                <w:lang w:eastAsia="fr-BE"/>
              </w:rPr>
              <w:t>Suggestions d'actions</w:t>
            </w:r>
          </w:p>
        </w:tc>
        <w:tc>
          <w:tcPr>
            <w:tcW w:w="584" w:type="dxa"/>
            <w:shd w:val="clear" w:color="auto" w:fill="auto"/>
            <w:noWrap/>
            <w:hideMark/>
          </w:tcPr>
          <w:p w:rsidR="00D32D5F" w:rsidRPr="00F947B2" w:rsidRDefault="00D32D5F" w:rsidP="000D79CB">
            <w:pPr>
              <w:spacing w:after="0" w:line="240" w:lineRule="auto"/>
              <w:jc w:val="center"/>
              <w:rPr>
                <w:rFonts w:eastAsia="Times New Roman" w:cs="Arial"/>
                <w:b/>
                <w:szCs w:val="20"/>
                <w:lang w:eastAsia="fr-BE"/>
              </w:rPr>
            </w:pPr>
            <w:r w:rsidRPr="00F947B2">
              <w:rPr>
                <w:rFonts w:eastAsia="Times New Roman" w:cs="Arial"/>
                <w:b/>
                <w:szCs w:val="20"/>
                <w:lang w:eastAsia="fr-BE"/>
              </w:rPr>
              <w:t>2022</w:t>
            </w:r>
          </w:p>
        </w:tc>
        <w:tc>
          <w:tcPr>
            <w:tcW w:w="584" w:type="dxa"/>
            <w:shd w:val="clear" w:color="auto" w:fill="auto"/>
            <w:noWrap/>
            <w:hideMark/>
          </w:tcPr>
          <w:p w:rsidR="00D32D5F" w:rsidRPr="00F947B2" w:rsidRDefault="00D32D5F" w:rsidP="000D79CB">
            <w:pPr>
              <w:spacing w:after="0" w:line="240" w:lineRule="auto"/>
              <w:jc w:val="center"/>
              <w:rPr>
                <w:rFonts w:eastAsia="Times New Roman" w:cs="Arial"/>
                <w:b/>
                <w:szCs w:val="20"/>
                <w:lang w:eastAsia="fr-BE"/>
              </w:rPr>
            </w:pPr>
            <w:r w:rsidRPr="00F947B2">
              <w:rPr>
                <w:rFonts w:eastAsia="Times New Roman" w:cs="Arial"/>
                <w:b/>
                <w:szCs w:val="20"/>
                <w:lang w:eastAsia="fr-BE"/>
              </w:rPr>
              <w:t>2023</w:t>
            </w:r>
          </w:p>
        </w:tc>
        <w:tc>
          <w:tcPr>
            <w:tcW w:w="659" w:type="dxa"/>
            <w:shd w:val="clear" w:color="auto" w:fill="auto"/>
            <w:noWrap/>
            <w:hideMark/>
          </w:tcPr>
          <w:p w:rsidR="00D32D5F" w:rsidRPr="00F947B2" w:rsidRDefault="00D32D5F" w:rsidP="000D79CB">
            <w:pPr>
              <w:spacing w:after="0" w:line="240" w:lineRule="auto"/>
              <w:jc w:val="center"/>
              <w:rPr>
                <w:rFonts w:eastAsia="Times New Roman" w:cs="Arial"/>
                <w:b/>
                <w:szCs w:val="20"/>
                <w:lang w:eastAsia="fr-BE"/>
              </w:rPr>
            </w:pPr>
            <w:r w:rsidRPr="00F947B2">
              <w:rPr>
                <w:rFonts w:eastAsia="Times New Roman" w:cs="Arial"/>
                <w:b/>
                <w:szCs w:val="20"/>
                <w:lang w:eastAsia="fr-BE"/>
              </w:rPr>
              <w:t>2024</w:t>
            </w:r>
          </w:p>
        </w:tc>
        <w:tc>
          <w:tcPr>
            <w:tcW w:w="546" w:type="dxa"/>
            <w:shd w:val="clear" w:color="auto" w:fill="auto"/>
            <w:noWrap/>
            <w:hideMark/>
          </w:tcPr>
          <w:p w:rsidR="00D32D5F" w:rsidRPr="00F947B2" w:rsidRDefault="00D32D5F" w:rsidP="000D79CB">
            <w:pPr>
              <w:spacing w:after="0" w:line="240" w:lineRule="auto"/>
              <w:rPr>
                <w:b/>
                <w:lang w:eastAsia="fr-BE"/>
              </w:rPr>
            </w:pPr>
            <w:r w:rsidRPr="00F947B2">
              <w:rPr>
                <w:b/>
                <w:lang w:eastAsia="fr-BE"/>
              </w:rPr>
              <w:t>2025</w:t>
            </w:r>
          </w:p>
        </w:tc>
      </w:tr>
      <w:tr w:rsidR="000D79CB" w:rsidRPr="00C6442C" w:rsidTr="00F947B2">
        <w:trPr>
          <w:trHeight w:val="1124"/>
        </w:trPr>
        <w:tc>
          <w:tcPr>
            <w:tcW w:w="252" w:type="dxa"/>
            <w:vMerge w:val="restart"/>
            <w:shd w:val="clear" w:color="auto" w:fill="FFE599" w:themeFill="accent4" w:themeFillTint="66"/>
            <w:noWrap/>
          </w:tcPr>
          <w:p w:rsidR="000D79CB" w:rsidRPr="00C6442C" w:rsidRDefault="000D79CB" w:rsidP="000D79CB">
            <w:pPr>
              <w:spacing w:after="0" w:line="240" w:lineRule="auto"/>
              <w:rPr>
                <w:rFonts w:ascii="Arial" w:eastAsia="Times New Roman" w:hAnsi="Arial" w:cs="Arial"/>
                <w:color w:val="000000"/>
                <w:szCs w:val="20"/>
                <w:lang w:eastAsia="fr-BE"/>
              </w:rPr>
            </w:pPr>
            <w:r>
              <w:rPr>
                <w:rFonts w:ascii="Arial" w:eastAsia="Times New Roman" w:hAnsi="Arial" w:cs="Arial"/>
                <w:color w:val="000000"/>
                <w:szCs w:val="20"/>
                <w:lang w:eastAsia="fr-BE"/>
              </w:rPr>
              <w:t>2</w:t>
            </w:r>
          </w:p>
        </w:tc>
        <w:tc>
          <w:tcPr>
            <w:tcW w:w="1585" w:type="dxa"/>
            <w:vMerge w:val="restart"/>
            <w:shd w:val="clear" w:color="auto" w:fill="auto"/>
            <w:noWrap/>
            <w:hideMark/>
          </w:tcPr>
          <w:p w:rsidR="000D79CB" w:rsidRPr="00C6442C" w:rsidRDefault="000D79CB" w:rsidP="000D79CB">
            <w:pPr>
              <w:spacing w:after="0" w:line="240" w:lineRule="auto"/>
              <w:rPr>
                <w:lang w:eastAsia="fr-BE"/>
              </w:rPr>
            </w:pPr>
            <w:r>
              <w:t>Faciliter l’accès aux droits et aux services sociaux et de santé existants.</w:t>
            </w:r>
            <w:r w:rsidRPr="00C6442C">
              <w:rPr>
                <w:rFonts w:eastAsia="Times New Roman" w:cs="Arial"/>
                <w:color w:val="000000"/>
                <w:szCs w:val="20"/>
                <w:lang w:eastAsia="fr-BE"/>
              </w:rPr>
              <w:t> </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lang w:eastAsia="fr-BE"/>
              </w:rPr>
            </w:pPr>
            <w:r w:rsidRPr="00C6442C">
              <w:rPr>
                <w:rFonts w:eastAsia="Times New Roman" w:cs="Arial"/>
                <w:color w:val="000000"/>
                <w:szCs w:val="20"/>
                <w:lang w:eastAsia="fr-BE"/>
              </w:rPr>
              <w:t> </w:t>
            </w:r>
          </w:p>
        </w:tc>
        <w:tc>
          <w:tcPr>
            <w:tcW w:w="439" w:type="dxa"/>
            <w:vMerge w:val="restart"/>
            <w:shd w:val="clear" w:color="auto" w:fill="F7CAAC" w:themeFill="accent2" w:themeFillTint="66"/>
            <w:noWrap/>
            <w:hideMark/>
          </w:tcPr>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2.1</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Pr>
                <w:rFonts w:eastAsia="Times New Roman" w:cs="Arial"/>
                <w:color w:val="000000"/>
                <w:szCs w:val="20"/>
                <w:lang w:eastAsia="fr-BE"/>
              </w:rPr>
              <w:t xml:space="preserve"> </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2115" w:type="dxa"/>
            <w:vMerge w:val="restart"/>
            <w:shd w:val="clear" w:color="auto" w:fill="auto"/>
            <w:noWrap/>
            <w:hideMark/>
          </w:tcPr>
          <w:p w:rsidR="000D79CB" w:rsidRPr="001C4A93" w:rsidRDefault="000D79CB" w:rsidP="000D79CB">
            <w:pPr>
              <w:spacing w:after="0" w:line="240" w:lineRule="auto"/>
              <w:rPr>
                <w:rFonts w:eastAsia="Times New Roman" w:cs="Arial"/>
                <w:color w:val="000000"/>
                <w:szCs w:val="20"/>
                <w:lang w:eastAsia="fr-BE"/>
              </w:rPr>
            </w:pPr>
            <w:r w:rsidRPr="001C4A93">
              <w:rPr>
                <w:lang w:eastAsia="fr-BE"/>
              </w:rPr>
              <w:t> </w:t>
            </w:r>
            <w:r w:rsidRPr="001C4A93">
              <w:rPr>
                <w:lang w:val="fr-FR"/>
              </w:rPr>
              <w:t>Les services sociaux et de santé seront en capacité de prendre en compte les besoins et les spécificités des publics vulnérables.</w:t>
            </w:r>
            <w:r w:rsidRPr="001C4A93">
              <w:rPr>
                <w:rFonts w:eastAsia="Times New Roman" w:cs="Arial"/>
                <w:color w:val="000000"/>
                <w:szCs w:val="20"/>
                <w:lang w:eastAsia="fr-BE"/>
              </w:rPr>
              <w:t> </w:t>
            </w:r>
          </w:p>
          <w:p w:rsidR="000D79CB" w:rsidRPr="001C4A93" w:rsidRDefault="000D79CB" w:rsidP="000D79CB">
            <w:pPr>
              <w:spacing w:after="0" w:line="240" w:lineRule="auto"/>
              <w:rPr>
                <w:rFonts w:eastAsia="Times New Roman" w:cs="Arial"/>
                <w:color w:val="000000"/>
                <w:szCs w:val="20"/>
                <w:lang w:eastAsia="fr-BE"/>
              </w:rPr>
            </w:pPr>
            <w:r w:rsidRPr="001C4A93">
              <w:rPr>
                <w:rFonts w:eastAsia="Times New Roman" w:cs="Arial"/>
                <w:color w:val="000000"/>
                <w:szCs w:val="20"/>
                <w:lang w:eastAsia="fr-BE"/>
              </w:rPr>
              <w:t> </w:t>
            </w:r>
          </w:p>
          <w:p w:rsidR="000D79CB" w:rsidRPr="00C6442C" w:rsidRDefault="000D79CB" w:rsidP="000D79CB">
            <w:pPr>
              <w:spacing w:after="0" w:line="240" w:lineRule="auto"/>
              <w:rPr>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lang w:eastAsia="fr-BE"/>
              </w:rPr>
            </w:pPr>
            <w:r w:rsidRPr="00C6442C">
              <w:rPr>
                <w:rFonts w:eastAsia="Times New Roman" w:cs="Arial"/>
                <w:color w:val="000000"/>
                <w:szCs w:val="20"/>
                <w:lang w:eastAsia="fr-BE"/>
              </w:rPr>
              <w:t> </w:t>
            </w:r>
          </w:p>
        </w:tc>
        <w:tc>
          <w:tcPr>
            <w:tcW w:w="708" w:type="dxa"/>
            <w:vMerge w:val="restart"/>
            <w:shd w:val="clear" w:color="auto" w:fill="C5E0B3" w:themeFill="accent6" w:themeFillTint="66"/>
            <w:noWrap/>
            <w:hideMark/>
          </w:tcPr>
          <w:p w:rsidR="000D79CB" w:rsidRPr="00C6442C" w:rsidRDefault="000D79CB" w:rsidP="000D79CB">
            <w:pPr>
              <w:spacing w:after="0" w:line="240" w:lineRule="auto"/>
              <w:rPr>
                <w:rFonts w:eastAsia="Times New Roman" w:cs="Arial"/>
                <w:color w:val="000000"/>
                <w:szCs w:val="20"/>
                <w:lang w:eastAsia="fr-BE"/>
              </w:rPr>
            </w:pPr>
            <w:r>
              <w:rPr>
                <w:rFonts w:eastAsia="Times New Roman" w:cs="Arial"/>
                <w:color w:val="000000"/>
                <w:szCs w:val="20"/>
                <w:lang w:eastAsia="fr-BE"/>
              </w:rPr>
              <w:t>2.1.1</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3119" w:type="dxa"/>
            <w:vMerge w:val="restart"/>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r w:rsidRPr="004B67AB">
              <w:rPr>
                <w:lang w:val="fr-FR"/>
              </w:rPr>
              <w:t xml:space="preserve">Les professionnels du secteur social-santé seront en capacité de prendre en compte la souffrance psychique </w:t>
            </w:r>
            <w:r>
              <w:rPr>
                <w:lang w:val="fr-FR"/>
              </w:rPr>
              <w:t xml:space="preserve">de leurs usagers </w:t>
            </w:r>
            <w:r w:rsidRPr="004B67AB">
              <w:rPr>
                <w:lang w:val="fr-FR"/>
              </w:rPr>
              <w:t>dans la réalisation de leur mission.</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4078" w:type="dxa"/>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r>
              <w:rPr>
                <w:lang w:val="fr-FR"/>
              </w:rPr>
              <w:t>Des services sociaux et de santé identifient leurs besoins au travers de leur pratique pour un meilleur accompagnement de leur public en souffrance psychique, en collaboration avec des acteurs de la santé mentale.</w:t>
            </w:r>
          </w:p>
        </w:tc>
        <w:tc>
          <w:tcPr>
            <w:tcW w:w="584"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x</w:t>
            </w:r>
          </w:p>
        </w:tc>
        <w:tc>
          <w:tcPr>
            <w:tcW w:w="584"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 x</w:t>
            </w:r>
          </w:p>
        </w:tc>
        <w:tc>
          <w:tcPr>
            <w:tcW w:w="659"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 x</w:t>
            </w:r>
          </w:p>
        </w:tc>
        <w:tc>
          <w:tcPr>
            <w:tcW w:w="546"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 X</w:t>
            </w:r>
          </w:p>
        </w:tc>
      </w:tr>
      <w:tr w:rsidR="000D79CB" w:rsidRPr="00C6442C" w:rsidTr="00F947B2">
        <w:trPr>
          <w:trHeight w:val="254"/>
        </w:trPr>
        <w:tc>
          <w:tcPr>
            <w:tcW w:w="252" w:type="dxa"/>
            <w:vMerge/>
            <w:shd w:val="clear" w:color="auto" w:fill="FFE599" w:themeFill="accent4" w:themeFillTint="66"/>
            <w:noWrap/>
            <w:vAlign w:val="bottom"/>
            <w:hideMark/>
          </w:tcPr>
          <w:p w:rsidR="000D79CB" w:rsidRPr="00C6442C" w:rsidRDefault="000D79CB" w:rsidP="000D79CB">
            <w:pPr>
              <w:spacing w:after="0" w:line="240" w:lineRule="auto"/>
              <w:rPr>
                <w:rFonts w:ascii="Arial" w:eastAsia="Times New Roman" w:hAnsi="Arial" w:cs="Arial"/>
                <w:color w:val="000000"/>
                <w:szCs w:val="20"/>
                <w:lang w:eastAsia="fr-BE"/>
              </w:rPr>
            </w:pPr>
          </w:p>
        </w:tc>
        <w:tc>
          <w:tcPr>
            <w:tcW w:w="1585" w:type="dxa"/>
            <w:vMerge/>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p>
        </w:tc>
        <w:tc>
          <w:tcPr>
            <w:tcW w:w="439" w:type="dxa"/>
            <w:vMerge/>
            <w:shd w:val="clear" w:color="auto" w:fill="F7CAAC" w:themeFill="accent2" w:themeFillTint="66"/>
            <w:noWrap/>
            <w:hideMark/>
          </w:tcPr>
          <w:p w:rsidR="000D79CB" w:rsidRPr="00C6442C" w:rsidRDefault="000D79CB" w:rsidP="000D79CB">
            <w:pPr>
              <w:spacing w:after="0" w:line="240" w:lineRule="auto"/>
              <w:rPr>
                <w:rFonts w:eastAsia="Times New Roman" w:cs="Arial"/>
                <w:color w:val="000000"/>
                <w:szCs w:val="20"/>
                <w:lang w:eastAsia="fr-BE"/>
              </w:rPr>
            </w:pPr>
          </w:p>
        </w:tc>
        <w:tc>
          <w:tcPr>
            <w:tcW w:w="2115" w:type="dxa"/>
            <w:vMerge/>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p>
        </w:tc>
        <w:tc>
          <w:tcPr>
            <w:tcW w:w="708" w:type="dxa"/>
            <w:vMerge/>
            <w:shd w:val="clear" w:color="auto" w:fill="C5E0B3" w:themeFill="accent6" w:themeFillTint="66"/>
            <w:noWrap/>
            <w:hideMark/>
          </w:tcPr>
          <w:p w:rsidR="000D79CB" w:rsidRPr="00C6442C" w:rsidRDefault="000D79CB" w:rsidP="000D79CB">
            <w:pPr>
              <w:spacing w:after="0" w:line="240" w:lineRule="auto"/>
              <w:rPr>
                <w:rFonts w:eastAsia="Times New Roman" w:cs="Arial"/>
                <w:color w:val="000000"/>
                <w:szCs w:val="20"/>
                <w:lang w:eastAsia="fr-BE"/>
              </w:rPr>
            </w:pPr>
          </w:p>
        </w:tc>
        <w:tc>
          <w:tcPr>
            <w:tcW w:w="3119" w:type="dxa"/>
            <w:vMerge/>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p>
        </w:tc>
        <w:tc>
          <w:tcPr>
            <w:tcW w:w="4078" w:type="dxa"/>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r>
              <w:rPr>
                <w:lang w:val="fr-FR"/>
              </w:rPr>
              <w:t>Les services impliqués adaptent leur dispositif  en tenant compte de la souffrance psychique en collaboration avec des acteurs de la santé mentale.</w:t>
            </w:r>
          </w:p>
        </w:tc>
        <w:tc>
          <w:tcPr>
            <w:tcW w:w="584"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x</w:t>
            </w:r>
          </w:p>
        </w:tc>
        <w:tc>
          <w:tcPr>
            <w:tcW w:w="584"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x</w:t>
            </w:r>
          </w:p>
        </w:tc>
        <w:tc>
          <w:tcPr>
            <w:tcW w:w="659"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x</w:t>
            </w:r>
          </w:p>
        </w:tc>
        <w:tc>
          <w:tcPr>
            <w:tcW w:w="546" w:type="dxa"/>
            <w:shd w:val="clear" w:color="auto" w:fill="auto"/>
            <w:noWrap/>
            <w:hideMark/>
          </w:tcPr>
          <w:p w:rsidR="000D79CB" w:rsidRPr="00B53037" w:rsidRDefault="000D79CB" w:rsidP="000D79CB">
            <w:pPr>
              <w:spacing w:after="0" w:line="240" w:lineRule="auto"/>
              <w:rPr>
                <w:lang w:eastAsia="fr-BE"/>
              </w:rPr>
            </w:pPr>
            <w:r w:rsidRPr="00B53037">
              <w:rPr>
                <w:lang w:eastAsia="fr-BE"/>
              </w:rPr>
              <w:t>X</w:t>
            </w:r>
          </w:p>
        </w:tc>
      </w:tr>
      <w:tr w:rsidR="000D79CB" w:rsidRPr="00C6442C" w:rsidTr="00F947B2">
        <w:trPr>
          <w:trHeight w:val="941"/>
        </w:trPr>
        <w:tc>
          <w:tcPr>
            <w:tcW w:w="252" w:type="dxa"/>
            <w:vMerge/>
            <w:shd w:val="clear" w:color="auto" w:fill="FFE599" w:themeFill="accent4" w:themeFillTint="66"/>
            <w:noWrap/>
            <w:vAlign w:val="bottom"/>
            <w:hideMark/>
          </w:tcPr>
          <w:p w:rsidR="000D79CB" w:rsidRPr="00C6442C" w:rsidRDefault="000D79CB" w:rsidP="000D79CB">
            <w:pPr>
              <w:spacing w:after="0" w:line="240" w:lineRule="auto"/>
              <w:rPr>
                <w:rFonts w:ascii="Arial" w:eastAsia="Times New Roman" w:hAnsi="Arial" w:cs="Arial"/>
                <w:color w:val="000000"/>
                <w:szCs w:val="20"/>
                <w:lang w:eastAsia="fr-BE"/>
              </w:rPr>
            </w:pPr>
          </w:p>
        </w:tc>
        <w:tc>
          <w:tcPr>
            <w:tcW w:w="1585" w:type="dxa"/>
            <w:vMerge/>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p>
        </w:tc>
        <w:tc>
          <w:tcPr>
            <w:tcW w:w="439" w:type="dxa"/>
            <w:vMerge/>
            <w:shd w:val="clear" w:color="auto" w:fill="F7CAAC" w:themeFill="accent2" w:themeFillTint="66"/>
            <w:noWrap/>
            <w:hideMark/>
          </w:tcPr>
          <w:p w:rsidR="000D79CB" w:rsidRPr="00C6442C" w:rsidRDefault="000D79CB" w:rsidP="000D79CB">
            <w:pPr>
              <w:spacing w:after="0" w:line="240" w:lineRule="auto"/>
              <w:rPr>
                <w:rFonts w:eastAsia="Times New Roman" w:cs="Arial"/>
                <w:color w:val="000000"/>
                <w:szCs w:val="20"/>
                <w:lang w:eastAsia="fr-BE"/>
              </w:rPr>
            </w:pPr>
          </w:p>
        </w:tc>
        <w:tc>
          <w:tcPr>
            <w:tcW w:w="2115" w:type="dxa"/>
            <w:vMerge/>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p>
        </w:tc>
        <w:tc>
          <w:tcPr>
            <w:tcW w:w="708" w:type="dxa"/>
            <w:shd w:val="clear" w:color="auto" w:fill="C5E0B3" w:themeFill="accent6" w:themeFillTint="66"/>
            <w:noWrap/>
            <w:hideMark/>
          </w:tcPr>
          <w:p w:rsidR="000D79CB" w:rsidRPr="00C6442C" w:rsidRDefault="000D79CB" w:rsidP="000D79CB">
            <w:pPr>
              <w:spacing w:after="0" w:line="240" w:lineRule="auto"/>
              <w:rPr>
                <w:rFonts w:eastAsia="Times New Roman" w:cs="Arial"/>
                <w:color w:val="000000"/>
                <w:szCs w:val="20"/>
                <w:lang w:eastAsia="fr-BE"/>
              </w:rPr>
            </w:pPr>
            <w:r>
              <w:rPr>
                <w:rFonts w:eastAsia="Times New Roman" w:cs="Arial"/>
                <w:color w:val="000000"/>
                <w:szCs w:val="20"/>
                <w:lang w:eastAsia="fr-BE"/>
              </w:rPr>
              <w:t>2.1.2</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p w:rsidR="000D79CB" w:rsidRPr="00C6442C" w:rsidRDefault="000D79CB" w:rsidP="000D79CB">
            <w:pPr>
              <w:spacing w:after="0" w:line="240" w:lineRule="auto"/>
              <w:rPr>
                <w:rFonts w:eastAsia="Times New Roman" w:cs="Arial"/>
                <w:color w:val="000000"/>
                <w:szCs w:val="20"/>
                <w:lang w:eastAsia="fr-BE"/>
              </w:rPr>
            </w:pPr>
            <w:r w:rsidRPr="00C6442C">
              <w:rPr>
                <w:rFonts w:eastAsia="Times New Roman" w:cs="Arial"/>
                <w:color w:val="000000"/>
                <w:szCs w:val="20"/>
                <w:lang w:eastAsia="fr-BE"/>
              </w:rPr>
              <w:t> </w:t>
            </w:r>
          </w:p>
        </w:tc>
        <w:tc>
          <w:tcPr>
            <w:tcW w:w="3119" w:type="dxa"/>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r w:rsidRPr="004B67AB">
              <w:rPr>
                <w:lang w:val="fr-FR"/>
              </w:rPr>
              <w:t xml:space="preserve">Les jeunes de </w:t>
            </w:r>
            <w:r>
              <w:rPr>
                <w:lang w:val="fr-FR"/>
              </w:rPr>
              <w:t xml:space="preserve">de 15 à </w:t>
            </w:r>
            <w:r w:rsidRPr="004B67AB">
              <w:rPr>
                <w:lang w:val="fr-FR"/>
              </w:rPr>
              <w:t>25 ans en</w:t>
            </w:r>
            <w:r>
              <w:rPr>
                <w:lang w:val="fr-FR"/>
              </w:rPr>
              <w:t xml:space="preserve"> état de</w:t>
            </w:r>
            <w:r w:rsidRPr="004B67AB">
              <w:rPr>
                <w:lang w:val="fr-FR"/>
              </w:rPr>
              <w:t xml:space="preserve"> souffrance psychique sont accueillis et orientés en fonction de leurs besoins spécifiques</w:t>
            </w:r>
            <w:r>
              <w:rPr>
                <w:lang w:val="fr-FR"/>
              </w:rPr>
              <w:t>.</w:t>
            </w:r>
            <w:r w:rsidRPr="00C6442C">
              <w:rPr>
                <w:rFonts w:eastAsia="Times New Roman" w:cs="Arial"/>
                <w:color w:val="000000"/>
                <w:szCs w:val="20"/>
                <w:lang w:eastAsia="fr-BE"/>
              </w:rPr>
              <w:t> </w:t>
            </w:r>
          </w:p>
        </w:tc>
        <w:tc>
          <w:tcPr>
            <w:tcW w:w="4078" w:type="dxa"/>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r>
              <w:rPr>
                <w:lang w:val="fr-FR"/>
              </w:rPr>
              <w:t>Les dispositifs d’accueil existants dans le quartier des Marolles sont renforcés.</w:t>
            </w:r>
          </w:p>
        </w:tc>
        <w:tc>
          <w:tcPr>
            <w:tcW w:w="584"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p>
        </w:tc>
        <w:tc>
          <w:tcPr>
            <w:tcW w:w="584"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p>
        </w:tc>
        <w:tc>
          <w:tcPr>
            <w:tcW w:w="659"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p>
        </w:tc>
        <w:tc>
          <w:tcPr>
            <w:tcW w:w="546" w:type="dxa"/>
            <w:shd w:val="clear" w:color="auto" w:fill="auto"/>
            <w:noWrap/>
            <w:hideMark/>
          </w:tcPr>
          <w:p w:rsidR="000D79CB" w:rsidRPr="00B53037" w:rsidRDefault="000D79CB" w:rsidP="000D79CB">
            <w:pPr>
              <w:spacing w:after="0" w:line="240" w:lineRule="auto"/>
              <w:rPr>
                <w:lang w:eastAsia="fr-BE"/>
              </w:rPr>
            </w:pPr>
          </w:p>
        </w:tc>
      </w:tr>
      <w:tr w:rsidR="00D765E1" w:rsidRPr="00C6442C" w:rsidTr="00965FCD">
        <w:trPr>
          <w:trHeight w:val="941"/>
        </w:trPr>
        <w:tc>
          <w:tcPr>
            <w:tcW w:w="252" w:type="dxa"/>
            <w:vMerge/>
            <w:shd w:val="clear" w:color="auto" w:fill="FFE599" w:themeFill="accent4" w:themeFillTint="66"/>
            <w:noWrap/>
            <w:vAlign w:val="bottom"/>
          </w:tcPr>
          <w:p w:rsidR="00D765E1" w:rsidRPr="00C6442C" w:rsidRDefault="00D765E1" w:rsidP="000D79CB">
            <w:pPr>
              <w:spacing w:after="0" w:line="240" w:lineRule="auto"/>
              <w:rPr>
                <w:rFonts w:ascii="Arial" w:eastAsia="Times New Roman" w:hAnsi="Arial" w:cs="Arial"/>
                <w:color w:val="000000"/>
                <w:szCs w:val="20"/>
                <w:lang w:eastAsia="fr-BE"/>
              </w:rPr>
            </w:pPr>
          </w:p>
        </w:tc>
        <w:tc>
          <w:tcPr>
            <w:tcW w:w="1585" w:type="dxa"/>
            <w:vMerge/>
            <w:shd w:val="clear" w:color="auto" w:fill="auto"/>
            <w:noWrap/>
          </w:tcPr>
          <w:p w:rsidR="00D765E1" w:rsidRPr="00C6442C" w:rsidRDefault="00D765E1" w:rsidP="000D79CB">
            <w:pPr>
              <w:spacing w:after="0" w:line="240" w:lineRule="auto"/>
              <w:rPr>
                <w:rFonts w:eastAsia="Times New Roman" w:cs="Arial"/>
                <w:color w:val="000000"/>
                <w:szCs w:val="20"/>
                <w:lang w:eastAsia="fr-BE"/>
              </w:rPr>
            </w:pPr>
          </w:p>
        </w:tc>
        <w:tc>
          <w:tcPr>
            <w:tcW w:w="439" w:type="dxa"/>
            <w:vMerge/>
            <w:shd w:val="clear" w:color="auto" w:fill="F7CAAC" w:themeFill="accent2" w:themeFillTint="66"/>
            <w:noWrap/>
          </w:tcPr>
          <w:p w:rsidR="00D765E1" w:rsidRPr="00C6442C" w:rsidRDefault="00D765E1" w:rsidP="000D79CB">
            <w:pPr>
              <w:spacing w:after="0" w:line="240" w:lineRule="auto"/>
              <w:rPr>
                <w:rFonts w:eastAsia="Times New Roman" w:cs="Arial"/>
                <w:color w:val="000000"/>
                <w:szCs w:val="20"/>
                <w:lang w:eastAsia="fr-BE"/>
              </w:rPr>
            </w:pPr>
          </w:p>
        </w:tc>
        <w:tc>
          <w:tcPr>
            <w:tcW w:w="2115" w:type="dxa"/>
            <w:vMerge/>
            <w:shd w:val="clear" w:color="auto" w:fill="auto"/>
            <w:noWrap/>
          </w:tcPr>
          <w:p w:rsidR="00D765E1" w:rsidRPr="00C6442C" w:rsidRDefault="00D765E1" w:rsidP="000D79CB">
            <w:pPr>
              <w:spacing w:after="0" w:line="240" w:lineRule="auto"/>
              <w:rPr>
                <w:rFonts w:eastAsia="Times New Roman" w:cs="Arial"/>
                <w:color w:val="000000"/>
                <w:szCs w:val="20"/>
                <w:lang w:eastAsia="fr-BE"/>
              </w:rPr>
            </w:pPr>
          </w:p>
        </w:tc>
        <w:tc>
          <w:tcPr>
            <w:tcW w:w="708" w:type="dxa"/>
            <w:shd w:val="clear" w:color="auto" w:fill="C5E0B3" w:themeFill="accent6" w:themeFillTint="66"/>
            <w:noWrap/>
          </w:tcPr>
          <w:p w:rsidR="00D765E1" w:rsidRDefault="00D765E1" w:rsidP="000D79CB">
            <w:pPr>
              <w:spacing w:after="0" w:line="240" w:lineRule="auto"/>
              <w:rPr>
                <w:rFonts w:eastAsia="Times New Roman" w:cs="Arial"/>
                <w:color w:val="000000"/>
                <w:szCs w:val="20"/>
                <w:lang w:eastAsia="fr-BE"/>
              </w:rPr>
            </w:pPr>
          </w:p>
        </w:tc>
        <w:tc>
          <w:tcPr>
            <w:tcW w:w="3119" w:type="dxa"/>
            <w:shd w:val="clear" w:color="auto" w:fill="auto"/>
            <w:noWrap/>
          </w:tcPr>
          <w:p w:rsidR="00D765E1" w:rsidRPr="004B67AB" w:rsidRDefault="00D765E1" w:rsidP="000D79CB">
            <w:pPr>
              <w:spacing w:after="0" w:line="240" w:lineRule="auto"/>
              <w:rPr>
                <w:lang w:val="fr-FR"/>
              </w:rPr>
            </w:pPr>
          </w:p>
        </w:tc>
        <w:tc>
          <w:tcPr>
            <w:tcW w:w="4078" w:type="dxa"/>
            <w:shd w:val="clear" w:color="auto" w:fill="BFBFBF" w:themeFill="background1" w:themeFillShade="BF"/>
            <w:noWrap/>
          </w:tcPr>
          <w:p w:rsidR="00D765E1" w:rsidRPr="00965FCD" w:rsidRDefault="00D765E1" w:rsidP="000D79CB">
            <w:pPr>
              <w:spacing w:after="0" w:line="240" w:lineRule="auto"/>
              <w:rPr>
                <w:b/>
                <w:lang w:val="fr-FR"/>
              </w:rPr>
            </w:pPr>
            <w:r w:rsidRPr="00965FCD">
              <w:rPr>
                <w:rFonts w:eastAsia="Times New Roman" w:cs="Arial"/>
                <w:b/>
                <w:color w:val="000000"/>
                <w:szCs w:val="20"/>
                <w:lang w:eastAsia="fr-BE"/>
              </w:rPr>
              <w:t>Les services sociaux et de santé développent et implémentent une méthodologie d’outreach facilitant l’accès des MENA et ex-MENA aux services existants.</w:t>
            </w:r>
          </w:p>
        </w:tc>
        <w:tc>
          <w:tcPr>
            <w:tcW w:w="584" w:type="dxa"/>
            <w:shd w:val="clear" w:color="auto" w:fill="auto"/>
            <w:noWrap/>
          </w:tcPr>
          <w:p w:rsidR="00D765E1" w:rsidRPr="00B53037" w:rsidRDefault="00CD28F6" w:rsidP="000D79CB">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584" w:type="dxa"/>
            <w:shd w:val="clear" w:color="auto" w:fill="auto"/>
            <w:noWrap/>
          </w:tcPr>
          <w:p w:rsidR="00D765E1" w:rsidRPr="00B53037" w:rsidRDefault="00CD28F6" w:rsidP="000D79CB">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659" w:type="dxa"/>
            <w:shd w:val="clear" w:color="auto" w:fill="auto"/>
            <w:noWrap/>
          </w:tcPr>
          <w:p w:rsidR="00D765E1" w:rsidRPr="00B53037" w:rsidRDefault="00D765E1" w:rsidP="000D79CB">
            <w:pPr>
              <w:spacing w:after="0" w:line="240" w:lineRule="auto"/>
              <w:rPr>
                <w:rFonts w:eastAsia="Times New Roman" w:cs="Arial"/>
                <w:color w:val="000000"/>
                <w:szCs w:val="20"/>
                <w:lang w:eastAsia="fr-BE"/>
              </w:rPr>
            </w:pPr>
          </w:p>
        </w:tc>
        <w:tc>
          <w:tcPr>
            <w:tcW w:w="546" w:type="dxa"/>
            <w:shd w:val="clear" w:color="auto" w:fill="auto"/>
            <w:noWrap/>
          </w:tcPr>
          <w:p w:rsidR="00D765E1" w:rsidRPr="00B53037" w:rsidRDefault="00D765E1" w:rsidP="000D79CB">
            <w:pPr>
              <w:spacing w:after="0" w:line="240" w:lineRule="auto"/>
              <w:rPr>
                <w:lang w:eastAsia="fr-BE"/>
              </w:rPr>
            </w:pPr>
          </w:p>
        </w:tc>
      </w:tr>
      <w:tr w:rsidR="000D79CB" w:rsidRPr="00C6442C" w:rsidTr="00F947B2">
        <w:trPr>
          <w:trHeight w:val="813"/>
        </w:trPr>
        <w:tc>
          <w:tcPr>
            <w:tcW w:w="252" w:type="dxa"/>
            <w:vMerge/>
            <w:shd w:val="clear" w:color="auto" w:fill="FFE599" w:themeFill="accent4" w:themeFillTint="66"/>
            <w:noWrap/>
            <w:vAlign w:val="bottom"/>
            <w:hideMark/>
          </w:tcPr>
          <w:p w:rsidR="000D79CB" w:rsidRPr="00C6442C" w:rsidRDefault="000D79CB" w:rsidP="000D79CB">
            <w:pPr>
              <w:spacing w:after="0" w:line="240" w:lineRule="auto"/>
              <w:rPr>
                <w:rFonts w:ascii="Arial" w:eastAsia="Times New Roman" w:hAnsi="Arial" w:cs="Arial"/>
                <w:color w:val="000000"/>
                <w:szCs w:val="20"/>
                <w:lang w:eastAsia="fr-BE"/>
              </w:rPr>
            </w:pPr>
          </w:p>
        </w:tc>
        <w:tc>
          <w:tcPr>
            <w:tcW w:w="1585" w:type="dxa"/>
            <w:vMerge/>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p>
        </w:tc>
        <w:tc>
          <w:tcPr>
            <w:tcW w:w="439" w:type="dxa"/>
            <w:vMerge/>
            <w:shd w:val="clear" w:color="auto" w:fill="F7CAAC" w:themeFill="accent2" w:themeFillTint="66"/>
            <w:noWrap/>
            <w:hideMark/>
          </w:tcPr>
          <w:p w:rsidR="000D79CB" w:rsidRPr="00C6442C" w:rsidRDefault="000D79CB" w:rsidP="000D79CB">
            <w:pPr>
              <w:spacing w:after="0" w:line="240" w:lineRule="auto"/>
              <w:rPr>
                <w:rFonts w:eastAsia="Times New Roman" w:cs="Arial"/>
                <w:color w:val="000000"/>
                <w:szCs w:val="20"/>
                <w:lang w:eastAsia="fr-BE"/>
              </w:rPr>
            </w:pPr>
          </w:p>
        </w:tc>
        <w:tc>
          <w:tcPr>
            <w:tcW w:w="2115" w:type="dxa"/>
            <w:vMerge/>
            <w:shd w:val="clear" w:color="auto" w:fill="auto"/>
            <w:noWrap/>
            <w:hideMark/>
          </w:tcPr>
          <w:p w:rsidR="000D79CB" w:rsidRPr="00C6442C" w:rsidRDefault="000D79CB" w:rsidP="000D79CB">
            <w:pPr>
              <w:spacing w:after="0" w:line="240" w:lineRule="auto"/>
              <w:rPr>
                <w:lang w:eastAsia="fr-BE"/>
              </w:rPr>
            </w:pPr>
          </w:p>
        </w:tc>
        <w:tc>
          <w:tcPr>
            <w:tcW w:w="708" w:type="dxa"/>
            <w:vMerge w:val="restart"/>
            <w:shd w:val="clear" w:color="auto" w:fill="C5E0B3" w:themeFill="accent6" w:themeFillTint="66"/>
            <w:noWrap/>
          </w:tcPr>
          <w:p w:rsidR="000D79CB" w:rsidRPr="00C6442C" w:rsidRDefault="000D79CB" w:rsidP="000D79CB">
            <w:pPr>
              <w:spacing w:after="0" w:line="240" w:lineRule="auto"/>
              <w:rPr>
                <w:rFonts w:eastAsia="Times New Roman" w:cs="Arial"/>
                <w:color w:val="000000"/>
                <w:szCs w:val="20"/>
                <w:lang w:eastAsia="fr-BE"/>
              </w:rPr>
            </w:pPr>
            <w:r>
              <w:rPr>
                <w:rFonts w:eastAsia="Times New Roman" w:cs="Arial"/>
                <w:color w:val="000000"/>
                <w:szCs w:val="20"/>
                <w:lang w:eastAsia="fr-BE"/>
              </w:rPr>
              <w:t>2.1.3</w:t>
            </w:r>
          </w:p>
        </w:tc>
        <w:tc>
          <w:tcPr>
            <w:tcW w:w="3119" w:type="dxa"/>
            <w:vMerge w:val="restart"/>
            <w:shd w:val="clear" w:color="auto" w:fill="auto"/>
            <w:noWrap/>
          </w:tcPr>
          <w:p w:rsidR="000D79CB" w:rsidRPr="00C6442C" w:rsidRDefault="000D79CB" w:rsidP="000D79CB">
            <w:pPr>
              <w:spacing w:after="0" w:line="240" w:lineRule="auto"/>
              <w:rPr>
                <w:rFonts w:eastAsia="Times New Roman" w:cs="Arial"/>
                <w:color w:val="000000"/>
                <w:szCs w:val="20"/>
                <w:lang w:eastAsia="fr-BE"/>
              </w:rPr>
            </w:pPr>
            <w:r>
              <w:rPr>
                <w:lang w:val="fr-FR"/>
              </w:rPr>
              <w:t>Les services sociaux et de santé dégagent des pistes d’action pour répondre aux besoins des personnes privées de titre de séjour, dans le domaine social-santé.</w:t>
            </w:r>
          </w:p>
        </w:tc>
        <w:tc>
          <w:tcPr>
            <w:tcW w:w="4078" w:type="dxa"/>
            <w:shd w:val="clear" w:color="auto" w:fill="auto"/>
            <w:noWrap/>
          </w:tcPr>
          <w:p w:rsidR="000D79CB" w:rsidRPr="00FD3864" w:rsidRDefault="000D79CB" w:rsidP="000D79CB">
            <w:pPr>
              <w:spacing w:after="0" w:line="240" w:lineRule="auto"/>
            </w:pPr>
            <w:r>
              <w:t>Un état des lieux des besoins en aide sociale et de santé des personnes sans titre de séjour est réalisé et partagé au sein d’une concertation.</w:t>
            </w:r>
          </w:p>
        </w:tc>
        <w:tc>
          <w:tcPr>
            <w:tcW w:w="584"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x</w:t>
            </w:r>
          </w:p>
        </w:tc>
        <w:tc>
          <w:tcPr>
            <w:tcW w:w="584"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x</w:t>
            </w:r>
          </w:p>
        </w:tc>
        <w:tc>
          <w:tcPr>
            <w:tcW w:w="659"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 </w:t>
            </w:r>
          </w:p>
        </w:tc>
        <w:tc>
          <w:tcPr>
            <w:tcW w:w="546"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 </w:t>
            </w:r>
          </w:p>
        </w:tc>
      </w:tr>
      <w:tr w:rsidR="000D79CB" w:rsidRPr="00C6442C" w:rsidTr="00F947B2">
        <w:trPr>
          <w:trHeight w:val="1290"/>
        </w:trPr>
        <w:tc>
          <w:tcPr>
            <w:tcW w:w="252" w:type="dxa"/>
            <w:vMerge/>
            <w:shd w:val="clear" w:color="auto" w:fill="FFE599" w:themeFill="accent4" w:themeFillTint="66"/>
            <w:noWrap/>
            <w:vAlign w:val="bottom"/>
            <w:hideMark/>
          </w:tcPr>
          <w:p w:rsidR="000D79CB" w:rsidRPr="00C6442C" w:rsidRDefault="000D79CB" w:rsidP="000D79CB">
            <w:pPr>
              <w:spacing w:after="0" w:line="240" w:lineRule="auto"/>
              <w:rPr>
                <w:rFonts w:ascii="Arial" w:eastAsia="Times New Roman" w:hAnsi="Arial" w:cs="Arial"/>
                <w:color w:val="000000"/>
                <w:szCs w:val="20"/>
                <w:lang w:eastAsia="fr-BE"/>
              </w:rPr>
            </w:pPr>
          </w:p>
        </w:tc>
        <w:tc>
          <w:tcPr>
            <w:tcW w:w="1585" w:type="dxa"/>
            <w:vMerge/>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p>
        </w:tc>
        <w:tc>
          <w:tcPr>
            <w:tcW w:w="439" w:type="dxa"/>
            <w:vMerge/>
            <w:shd w:val="clear" w:color="auto" w:fill="F7CAAC" w:themeFill="accent2" w:themeFillTint="66"/>
            <w:noWrap/>
            <w:hideMark/>
          </w:tcPr>
          <w:p w:rsidR="000D79CB" w:rsidRPr="00C6442C" w:rsidRDefault="000D79CB" w:rsidP="000D79CB">
            <w:pPr>
              <w:spacing w:after="0" w:line="240" w:lineRule="auto"/>
              <w:rPr>
                <w:rFonts w:eastAsia="Times New Roman" w:cs="Arial"/>
                <w:color w:val="000000"/>
                <w:szCs w:val="20"/>
                <w:lang w:eastAsia="fr-BE"/>
              </w:rPr>
            </w:pPr>
          </w:p>
        </w:tc>
        <w:tc>
          <w:tcPr>
            <w:tcW w:w="2115" w:type="dxa"/>
            <w:vMerge/>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p>
        </w:tc>
        <w:tc>
          <w:tcPr>
            <w:tcW w:w="708" w:type="dxa"/>
            <w:vMerge/>
            <w:shd w:val="clear" w:color="auto" w:fill="C5E0B3" w:themeFill="accent6" w:themeFillTint="66"/>
            <w:noWrap/>
          </w:tcPr>
          <w:p w:rsidR="000D79CB" w:rsidRPr="00C6442C" w:rsidRDefault="000D79CB" w:rsidP="000D79CB">
            <w:pPr>
              <w:spacing w:after="0" w:line="240" w:lineRule="auto"/>
              <w:rPr>
                <w:rFonts w:eastAsia="Times New Roman" w:cs="Arial"/>
                <w:color w:val="000000"/>
                <w:szCs w:val="20"/>
                <w:lang w:eastAsia="fr-BE"/>
              </w:rPr>
            </w:pPr>
          </w:p>
        </w:tc>
        <w:tc>
          <w:tcPr>
            <w:tcW w:w="3119" w:type="dxa"/>
            <w:vMerge/>
            <w:shd w:val="clear" w:color="auto" w:fill="auto"/>
            <w:noWrap/>
          </w:tcPr>
          <w:p w:rsidR="000D79CB" w:rsidRPr="00C6442C" w:rsidRDefault="000D79CB" w:rsidP="000D79CB">
            <w:pPr>
              <w:spacing w:after="0" w:line="240" w:lineRule="auto"/>
              <w:rPr>
                <w:rFonts w:eastAsia="Times New Roman" w:cs="Arial"/>
                <w:color w:val="000000"/>
                <w:szCs w:val="20"/>
                <w:lang w:eastAsia="fr-BE"/>
              </w:rPr>
            </w:pPr>
          </w:p>
        </w:tc>
        <w:tc>
          <w:tcPr>
            <w:tcW w:w="4078" w:type="dxa"/>
            <w:shd w:val="clear" w:color="auto" w:fill="auto"/>
            <w:noWrap/>
          </w:tcPr>
          <w:p w:rsidR="000D79CB" w:rsidRPr="00F23293" w:rsidRDefault="000D79CB" w:rsidP="000D79CB">
            <w:pPr>
              <w:spacing w:after="0" w:line="240" w:lineRule="auto"/>
              <w:rPr>
                <w:lang w:val="fr-FR"/>
              </w:rPr>
            </w:pPr>
            <w:r w:rsidRPr="00F23293">
              <w:rPr>
                <w:lang w:val="fr-FR"/>
              </w:rPr>
              <w:t>Les gens sans titre de séjour dispose</w:t>
            </w:r>
            <w:r>
              <w:rPr>
                <w:lang w:val="fr-FR"/>
              </w:rPr>
              <w:t>nt</w:t>
            </w:r>
            <w:r w:rsidRPr="00F23293">
              <w:rPr>
                <w:lang w:val="fr-FR"/>
              </w:rPr>
              <w:t xml:space="preserve"> d’une fiche d’identité locale qui donne accès aux services partenaires du quartier. Exemple : accès à la bibliothèque, aux articles 27, aux centres culturels, aux services d’aide alimentaire, etc.</w:t>
            </w:r>
          </w:p>
        </w:tc>
        <w:tc>
          <w:tcPr>
            <w:tcW w:w="584"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 </w:t>
            </w:r>
          </w:p>
        </w:tc>
        <w:tc>
          <w:tcPr>
            <w:tcW w:w="584"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p>
        </w:tc>
        <w:tc>
          <w:tcPr>
            <w:tcW w:w="659"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546" w:type="dxa"/>
            <w:shd w:val="clear" w:color="auto" w:fill="auto"/>
            <w:noWrap/>
            <w:hideMark/>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X</w:t>
            </w:r>
          </w:p>
        </w:tc>
      </w:tr>
      <w:tr w:rsidR="000D79CB" w:rsidRPr="00C6442C" w:rsidTr="00F947B2">
        <w:trPr>
          <w:trHeight w:val="764"/>
        </w:trPr>
        <w:tc>
          <w:tcPr>
            <w:tcW w:w="252" w:type="dxa"/>
            <w:vMerge/>
            <w:shd w:val="clear" w:color="auto" w:fill="FFE599" w:themeFill="accent4" w:themeFillTint="66"/>
            <w:noWrap/>
            <w:hideMark/>
          </w:tcPr>
          <w:p w:rsidR="000D79CB" w:rsidRPr="00C6442C" w:rsidRDefault="000D79CB" w:rsidP="000D79CB">
            <w:pPr>
              <w:spacing w:after="0" w:line="240" w:lineRule="auto"/>
              <w:rPr>
                <w:rFonts w:ascii="Arial" w:eastAsia="Times New Roman" w:hAnsi="Arial" w:cs="Arial"/>
                <w:color w:val="000000"/>
                <w:szCs w:val="20"/>
                <w:lang w:eastAsia="fr-BE"/>
              </w:rPr>
            </w:pPr>
          </w:p>
        </w:tc>
        <w:tc>
          <w:tcPr>
            <w:tcW w:w="1585" w:type="dxa"/>
            <w:vMerge/>
            <w:shd w:val="clear" w:color="auto" w:fill="auto"/>
            <w:noWrap/>
            <w:hideMark/>
          </w:tcPr>
          <w:p w:rsidR="000D79CB" w:rsidRPr="00C6442C" w:rsidRDefault="000D79CB" w:rsidP="000D79CB">
            <w:pPr>
              <w:spacing w:after="0" w:line="240" w:lineRule="auto"/>
              <w:rPr>
                <w:lang w:eastAsia="fr-BE"/>
              </w:rPr>
            </w:pPr>
          </w:p>
        </w:tc>
        <w:tc>
          <w:tcPr>
            <w:tcW w:w="439" w:type="dxa"/>
            <w:vMerge w:val="restart"/>
            <w:shd w:val="clear" w:color="auto" w:fill="F7CAAC" w:themeFill="accent2" w:themeFillTint="66"/>
            <w:noWrap/>
            <w:hideMark/>
          </w:tcPr>
          <w:p w:rsidR="000D79CB" w:rsidRPr="000D79CB" w:rsidRDefault="000D79CB" w:rsidP="000D79CB">
            <w:pPr>
              <w:spacing w:after="0" w:line="240" w:lineRule="auto"/>
              <w:rPr>
                <w:rFonts w:eastAsia="Times New Roman" w:cs="Arial"/>
                <w:color w:val="000000"/>
                <w:szCs w:val="20"/>
                <w:lang w:eastAsia="fr-BE"/>
              </w:rPr>
            </w:pPr>
            <w:r w:rsidRPr="000D79CB">
              <w:rPr>
                <w:rFonts w:eastAsia="Times New Roman" w:cs="Arial"/>
                <w:color w:val="000000"/>
                <w:szCs w:val="20"/>
                <w:lang w:eastAsia="fr-BE"/>
              </w:rPr>
              <w:t> 2.2</w:t>
            </w:r>
          </w:p>
          <w:p w:rsidR="000D79CB" w:rsidRPr="000D79CB" w:rsidRDefault="000D79CB" w:rsidP="000D79CB">
            <w:pPr>
              <w:spacing w:after="0" w:line="240" w:lineRule="auto"/>
              <w:rPr>
                <w:rFonts w:eastAsia="Times New Roman" w:cs="Arial"/>
                <w:color w:val="000000"/>
                <w:szCs w:val="20"/>
                <w:lang w:eastAsia="fr-BE"/>
              </w:rPr>
            </w:pPr>
          </w:p>
          <w:p w:rsidR="000D79CB" w:rsidRPr="000D79CB" w:rsidRDefault="000D79CB" w:rsidP="000D79CB">
            <w:pPr>
              <w:spacing w:after="0" w:line="240" w:lineRule="auto"/>
              <w:rPr>
                <w:rFonts w:eastAsia="Times New Roman" w:cs="Arial"/>
                <w:color w:val="000000"/>
                <w:szCs w:val="20"/>
                <w:lang w:eastAsia="fr-BE"/>
              </w:rPr>
            </w:pPr>
          </w:p>
        </w:tc>
        <w:tc>
          <w:tcPr>
            <w:tcW w:w="2115" w:type="dxa"/>
            <w:vMerge w:val="restart"/>
            <w:shd w:val="clear" w:color="auto" w:fill="C9C9C9" w:themeFill="accent3" w:themeFillTint="99"/>
            <w:noWrap/>
            <w:hideMark/>
          </w:tcPr>
          <w:p w:rsidR="000D79CB" w:rsidRPr="007B053F" w:rsidRDefault="000D79CB" w:rsidP="007B053F">
            <w:pPr>
              <w:spacing w:after="0" w:line="240" w:lineRule="auto"/>
              <w:rPr>
                <w:b/>
                <w:lang w:eastAsia="fr-BE"/>
              </w:rPr>
            </w:pPr>
            <w:r w:rsidRPr="007B053F">
              <w:rPr>
                <w:b/>
                <w:lang w:eastAsia="fr-BE"/>
              </w:rPr>
              <w:t xml:space="preserve">80 personnes entre 16 et 35 ans trouvent une </w:t>
            </w:r>
            <w:r w:rsidRPr="007B053F">
              <w:rPr>
                <w:b/>
                <w:lang w:eastAsia="fr-BE"/>
              </w:rPr>
              <w:lastRenderedPageBreak/>
              <w:t>activité rémunérée et valorisante.</w:t>
            </w:r>
          </w:p>
        </w:tc>
        <w:tc>
          <w:tcPr>
            <w:tcW w:w="708" w:type="dxa"/>
            <w:shd w:val="clear" w:color="auto" w:fill="C5E0B3" w:themeFill="accent6" w:themeFillTint="66"/>
            <w:noWrap/>
            <w:hideMark/>
          </w:tcPr>
          <w:p w:rsidR="000D79CB" w:rsidRPr="000D79CB" w:rsidRDefault="000D79CB" w:rsidP="000D79CB">
            <w:pPr>
              <w:spacing w:after="0" w:line="240" w:lineRule="auto"/>
              <w:rPr>
                <w:rFonts w:eastAsia="Times New Roman" w:cs="Arial"/>
                <w:color w:val="000000"/>
                <w:szCs w:val="20"/>
                <w:lang w:eastAsia="fr-BE"/>
              </w:rPr>
            </w:pPr>
            <w:r w:rsidRPr="000D79CB">
              <w:rPr>
                <w:rFonts w:eastAsia="Times New Roman" w:cs="Arial"/>
                <w:color w:val="000000"/>
                <w:szCs w:val="20"/>
                <w:lang w:eastAsia="fr-BE"/>
              </w:rPr>
              <w:lastRenderedPageBreak/>
              <w:t> 2.2.1</w:t>
            </w:r>
          </w:p>
        </w:tc>
        <w:tc>
          <w:tcPr>
            <w:tcW w:w="3119" w:type="dxa"/>
            <w:shd w:val="clear" w:color="auto" w:fill="C9C9C9" w:themeFill="accent3" w:themeFillTint="99"/>
            <w:noWrap/>
          </w:tcPr>
          <w:p w:rsidR="000D79CB" w:rsidRPr="007B053F" w:rsidRDefault="000D79CB" w:rsidP="000D79CB">
            <w:pPr>
              <w:spacing w:after="0" w:line="240" w:lineRule="auto"/>
              <w:rPr>
                <w:b/>
              </w:rPr>
            </w:pPr>
            <w:r w:rsidRPr="007B053F">
              <w:rPr>
                <w:b/>
              </w:rPr>
              <w:t>60 jeunes du quartier entre 16 et 35 ans trouvent une première activité rémunérée et valorisante.</w:t>
            </w:r>
          </w:p>
        </w:tc>
        <w:tc>
          <w:tcPr>
            <w:tcW w:w="4078" w:type="dxa"/>
            <w:shd w:val="clear" w:color="auto" w:fill="C9C9C9" w:themeFill="accent3" w:themeFillTint="99"/>
            <w:noWrap/>
          </w:tcPr>
          <w:p w:rsidR="000D79CB" w:rsidRPr="000D79CB" w:rsidRDefault="000D79CB" w:rsidP="000D79CB">
            <w:pPr>
              <w:spacing w:after="0" w:line="240" w:lineRule="auto"/>
              <w:rPr>
                <w:rFonts w:eastAsia="Times New Roman" w:cs="Arial"/>
                <w:color w:val="000000"/>
                <w:szCs w:val="20"/>
                <w:lang w:eastAsia="fr-BE"/>
              </w:rPr>
            </w:pPr>
          </w:p>
        </w:tc>
        <w:tc>
          <w:tcPr>
            <w:tcW w:w="584" w:type="dxa"/>
            <w:shd w:val="clear" w:color="auto" w:fill="auto"/>
            <w:noWrap/>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x</w:t>
            </w:r>
          </w:p>
        </w:tc>
        <w:tc>
          <w:tcPr>
            <w:tcW w:w="584" w:type="dxa"/>
            <w:shd w:val="clear" w:color="auto" w:fill="auto"/>
            <w:noWrap/>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x</w:t>
            </w:r>
          </w:p>
        </w:tc>
        <w:tc>
          <w:tcPr>
            <w:tcW w:w="659" w:type="dxa"/>
            <w:shd w:val="clear" w:color="auto" w:fill="auto"/>
            <w:noWrap/>
          </w:tcPr>
          <w:p w:rsidR="000D79CB" w:rsidRPr="00B53037" w:rsidRDefault="000D79CB" w:rsidP="000D79CB">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546" w:type="dxa"/>
            <w:shd w:val="clear" w:color="auto" w:fill="auto"/>
            <w:noWrap/>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X</w:t>
            </w:r>
          </w:p>
        </w:tc>
      </w:tr>
      <w:tr w:rsidR="000D79CB" w:rsidRPr="00C6442C" w:rsidTr="00F947B2">
        <w:trPr>
          <w:trHeight w:val="254"/>
        </w:trPr>
        <w:tc>
          <w:tcPr>
            <w:tcW w:w="252" w:type="dxa"/>
            <w:vMerge/>
            <w:shd w:val="clear" w:color="auto" w:fill="FFE599" w:themeFill="accent4" w:themeFillTint="66"/>
            <w:noWrap/>
            <w:vAlign w:val="bottom"/>
            <w:hideMark/>
          </w:tcPr>
          <w:p w:rsidR="000D79CB" w:rsidRPr="00C6442C" w:rsidRDefault="000D79CB" w:rsidP="000D79CB">
            <w:pPr>
              <w:spacing w:after="0" w:line="240" w:lineRule="auto"/>
              <w:rPr>
                <w:rFonts w:ascii="Arial" w:eastAsia="Times New Roman" w:hAnsi="Arial" w:cs="Arial"/>
                <w:color w:val="000000"/>
                <w:szCs w:val="20"/>
                <w:lang w:eastAsia="fr-BE"/>
              </w:rPr>
            </w:pPr>
          </w:p>
        </w:tc>
        <w:tc>
          <w:tcPr>
            <w:tcW w:w="1585" w:type="dxa"/>
            <w:vMerge/>
            <w:shd w:val="clear" w:color="auto" w:fill="auto"/>
            <w:noWrap/>
            <w:hideMark/>
          </w:tcPr>
          <w:p w:rsidR="000D79CB" w:rsidRPr="00C6442C" w:rsidRDefault="000D79CB" w:rsidP="000D79CB">
            <w:pPr>
              <w:spacing w:after="0" w:line="240" w:lineRule="auto"/>
              <w:rPr>
                <w:rFonts w:eastAsia="Times New Roman" w:cs="Arial"/>
                <w:color w:val="000000"/>
                <w:szCs w:val="20"/>
                <w:lang w:eastAsia="fr-BE"/>
              </w:rPr>
            </w:pPr>
          </w:p>
        </w:tc>
        <w:tc>
          <w:tcPr>
            <w:tcW w:w="439" w:type="dxa"/>
            <w:vMerge/>
            <w:shd w:val="clear" w:color="auto" w:fill="F7CAAC" w:themeFill="accent2" w:themeFillTint="66"/>
            <w:noWrap/>
            <w:hideMark/>
          </w:tcPr>
          <w:p w:rsidR="000D79CB" w:rsidRPr="000D79CB" w:rsidRDefault="000D79CB" w:rsidP="000D79CB">
            <w:pPr>
              <w:spacing w:after="0" w:line="240" w:lineRule="auto"/>
              <w:rPr>
                <w:rFonts w:eastAsia="Times New Roman" w:cs="Arial"/>
                <w:color w:val="000000"/>
                <w:szCs w:val="20"/>
                <w:lang w:eastAsia="fr-BE"/>
              </w:rPr>
            </w:pPr>
          </w:p>
        </w:tc>
        <w:tc>
          <w:tcPr>
            <w:tcW w:w="2115" w:type="dxa"/>
            <w:vMerge/>
            <w:shd w:val="clear" w:color="auto" w:fill="C9C9C9" w:themeFill="accent3" w:themeFillTint="99"/>
            <w:noWrap/>
            <w:hideMark/>
          </w:tcPr>
          <w:p w:rsidR="000D79CB" w:rsidRPr="000D79CB" w:rsidRDefault="000D79CB" w:rsidP="000D79CB">
            <w:pPr>
              <w:spacing w:after="0" w:line="240" w:lineRule="auto"/>
              <w:rPr>
                <w:rFonts w:eastAsia="Times New Roman" w:cs="Arial"/>
                <w:color w:val="000000"/>
                <w:szCs w:val="20"/>
                <w:lang w:eastAsia="fr-BE"/>
              </w:rPr>
            </w:pPr>
          </w:p>
        </w:tc>
        <w:tc>
          <w:tcPr>
            <w:tcW w:w="708" w:type="dxa"/>
            <w:shd w:val="clear" w:color="auto" w:fill="C5E0B3" w:themeFill="accent6" w:themeFillTint="66"/>
            <w:noWrap/>
            <w:hideMark/>
          </w:tcPr>
          <w:p w:rsidR="000D79CB" w:rsidRPr="000D79CB" w:rsidRDefault="000D79CB" w:rsidP="000D79CB">
            <w:pPr>
              <w:spacing w:after="0" w:line="240" w:lineRule="auto"/>
              <w:rPr>
                <w:rFonts w:eastAsia="Times New Roman" w:cs="Arial"/>
                <w:color w:val="000000"/>
                <w:szCs w:val="20"/>
                <w:lang w:eastAsia="fr-BE"/>
              </w:rPr>
            </w:pPr>
          </w:p>
        </w:tc>
        <w:tc>
          <w:tcPr>
            <w:tcW w:w="3119" w:type="dxa"/>
            <w:shd w:val="clear" w:color="auto" w:fill="C9C9C9" w:themeFill="accent3" w:themeFillTint="99"/>
            <w:noWrap/>
            <w:hideMark/>
          </w:tcPr>
          <w:p w:rsidR="000D79CB" w:rsidRPr="007B053F" w:rsidRDefault="000D79CB" w:rsidP="000D79CB">
            <w:pPr>
              <w:spacing w:after="0" w:line="240" w:lineRule="auto"/>
              <w:rPr>
                <w:rFonts w:eastAsia="Times New Roman" w:cs="Arial"/>
                <w:b/>
                <w:color w:val="000000"/>
                <w:szCs w:val="20"/>
                <w:lang w:eastAsia="fr-BE"/>
              </w:rPr>
            </w:pPr>
            <w:r w:rsidRPr="007B053F">
              <w:rPr>
                <w:b/>
              </w:rPr>
              <w:t>20 personnes entre 25 et 35 ans disposant d’un casier judiciaire ont un parcours d’emploi stabilisé et valorisant.</w:t>
            </w:r>
          </w:p>
        </w:tc>
        <w:tc>
          <w:tcPr>
            <w:tcW w:w="4078" w:type="dxa"/>
            <w:shd w:val="clear" w:color="auto" w:fill="C9C9C9" w:themeFill="accent3" w:themeFillTint="99"/>
            <w:noWrap/>
          </w:tcPr>
          <w:p w:rsidR="000D79CB" w:rsidRPr="000D79CB" w:rsidRDefault="000D79CB" w:rsidP="000D79CB">
            <w:pPr>
              <w:spacing w:after="0" w:line="240" w:lineRule="auto"/>
              <w:rPr>
                <w:rFonts w:eastAsia="Times New Roman" w:cs="Arial"/>
                <w:color w:val="000000"/>
                <w:szCs w:val="20"/>
                <w:lang w:eastAsia="fr-BE"/>
              </w:rPr>
            </w:pPr>
          </w:p>
        </w:tc>
        <w:tc>
          <w:tcPr>
            <w:tcW w:w="584" w:type="dxa"/>
            <w:shd w:val="clear" w:color="auto" w:fill="auto"/>
            <w:noWrap/>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x</w:t>
            </w:r>
          </w:p>
        </w:tc>
        <w:tc>
          <w:tcPr>
            <w:tcW w:w="584" w:type="dxa"/>
            <w:shd w:val="clear" w:color="auto" w:fill="auto"/>
            <w:noWrap/>
          </w:tcPr>
          <w:p w:rsidR="000D79CB" w:rsidRPr="00B53037" w:rsidRDefault="000D79CB" w:rsidP="000D79CB">
            <w:pPr>
              <w:spacing w:after="0" w:line="240" w:lineRule="auto"/>
              <w:rPr>
                <w:rFonts w:eastAsia="Times New Roman" w:cs="Arial"/>
                <w:color w:val="000000"/>
                <w:szCs w:val="20"/>
                <w:lang w:eastAsia="fr-BE"/>
              </w:rPr>
            </w:pPr>
            <w:r w:rsidRPr="00B53037">
              <w:rPr>
                <w:rFonts w:eastAsia="Times New Roman" w:cs="Arial"/>
                <w:color w:val="000000"/>
                <w:szCs w:val="20"/>
                <w:lang w:eastAsia="fr-BE"/>
              </w:rPr>
              <w:t>x</w:t>
            </w:r>
          </w:p>
        </w:tc>
        <w:tc>
          <w:tcPr>
            <w:tcW w:w="659" w:type="dxa"/>
            <w:shd w:val="clear" w:color="auto" w:fill="auto"/>
            <w:noWrap/>
          </w:tcPr>
          <w:p w:rsidR="000D79CB" w:rsidRPr="00B53037" w:rsidRDefault="000D79CB" w:rsidP="000D79CB">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546" w:type="dxa"/>
            <w:shd w:val="clear" w:color="auto" w:fill="auto"/>
            <w:noWrap/>
          </w:tcPr>
          <w:p w:rsidR="000D79CB" w:rsidRPr="00B53037" w:rsidRDefault="000D79CB" w:rsidP="000D79CB">
            <w:pPr>
              <w:spacing w:after="0" w:line="240" w:lineRule="auto"/>
              <w:rPr>
                <w:lang w:eastAsia="fr-BE"/>
              </w:rPr>
            </w:pPr>
            <w:r>
              <w:rPr>
                <w:lang w:eastAsia="fr-BE"/>
              </w:rPr>
              <w:t>x</w:t>
            </w:r>
          </w:p>
        </w:tc>
      </w:tr>
    </w:tbl>
    <w:p w:rsidR="00541C3D" w:rsidRDefault="00541C3D"/>
    <w:p w:rsidR="003E0C55" w:rsidRPr="00F947B2" w:rsidRDefault="00DF38FC" w:rsidP="00F947B2">
      <w:pPr>
        <w:pBdr>
          <w:top w:val="single" w:sz="4" w:space="1" w:color="auto"/>
          <w:left w:val="single" w:sz="4" w:space="1" w:color="auto"/>
          <w:bottom w:val="single" w:sz="4" w:space="1" w:color="auto"/>
          <w:right w:val="single" w:sz="4" w:space="4" w:color="auto"/>
        </w:pBdr>
        <w:shd w:val="clear" w:color="auto" w:fill="B4C6E7" w:themeFill="accent5" w:themeFillTint="66"/>
        <w:ind w:right="797"/>
        <w:rPr>
          <w:b/>
        </w:rPr>
      </w:pPr>
      <w:r w:rsidRPr="00F947B2">
        <w:rPr>
          <w:b/>
        </w:rPr>
        <w:t>Objectifs transversal 1</w:t>
      </w:r>
      <w:r w:rsidR="00836A60" w:rsidRPr="00F947B2">
        <w:rPr>
          <w:b/>
        </w:rPr>
        <w:t xml:space="preserve">: </w:t>
      </w:r>
      <w:r w:rsidR="000D79CB" w:rsidRPr="00F947B2">
        <w:rPr>
          <w:b/>
        </w:rPr>
        <w:t>Les CLSS se développent selon l’approche communautaire</w:t>
      </w:r>
    </w:p>
    <w:p w:rsidR="0019131F" w:rsidRPr="006B52D2" w:rsidRDefault="0019131F" w:rsidP="00410ADD">
      <w:pPr>
        <w:ind w:right="797"/>
        <w:rPr>
          <w:b/>
          <w:i/>
        </w:rPr>
      </w:pPr>
      <w:r w:rsidRPr="006B52D2">
        <w:rPr>
          <w:b/>
          <w:i/>
        </w:rPr>
        <w:t xml:space="preserve">Les objectifs en </w:t>
      </w:r>
      <w:r>
        <w:rPr>
          <w:b/>
          <w:i/>
        </w:rPr>
        <w:t>gris</w:t>
      </w:r>
      <w:r w:rsidR="004F58A3">
        <w:rPr>
          <w:b/>
          <w:i/>
        </w:rPr>
        <w:t xml:space="preserve"> et en gras </w:t>
      </w:r>
      <w:r w:rsidRPr="006B52D2">
        <w:rPr>
          <w:b/>
          <w:i/>
        </w:rPr>
        <w:t xml:space="preserve"> sont ceux qui seront pilotés par le CPAS et ne </w:t>
      </w:r>
      <w:r>
        <w:rPr>
          <w:b/>
          <w:i/>
        </w:rPr>
        <w:t>feront pas l’objet de l’appel à projet</w:t>
      </w:r>
      <w:r w:rsidR="00CB04AA">
        <w:rPr>
          <w:b/>
          <w:i/>
        </w:rPr>
        <w:t>s</w:t>
      </w:r>
      <w:r>
        <w:rPr>
          <w:b/>
          <w:i/>
        </w:rPr>
        <w:t>.</w:t>
      </w:r>
      <w:r w:rsidR="00AA632C">
        <w:rPr>
          <w:b/>
          <w:i/>
        </w:rPr>
        <w:t xml:space="preserve"> Cet objectif est intégré dans le rôle des référents quartier et du groupe de travail CLSS.</w:t>
      </w:r>
    </w:p>
    <w:tbl>
      <w:tblPr>
        <w:tblW w:w="14692" w:type="dxa"/>
        <w:tblCellMar>
          <w:left w:w="70" w:type="dxa"/>
          <w:right w:w="70" w:type="dxa"/>
        </w:tblCellMar>
        <w:tblLook w:val="04A0" w:firstRow="1" w:lastRow="0" w:firstColumn="1" w:lastColumn="0" w:noHBand="0" w:noVBand="1"/>
      </w:tblPr>
      <w:tblGrid>
        <w:gridCol w:w="250"/>
        <w:gridCol w:w="1576"/>
        <w:gridCol w:w="437"/>
        <w:gridCol w:w="2103"/>
        <w:gridCol w:w="705"/>
        <w:gridCol w:w="3101"/>
        <w:gridCol w:w="4156"/>
        <w:gridCol w:w="581"/>
        <w:gridCol w:w="581"/>
        <w:gridCol w:w="656"/>
        <w:gridCol w:w="546"/>
      </w:tblGrid>
      <w:tr w:rsidR="00F947B2" w:rsidRPr="00F947B2" w:rsidTr="00AB0241">
        <w:trPr>
          <w:trHeight w:val="254"/>
        </w:trPr>
        <w:tc>
          <w:tcPr>
            <w:tcW w:w="1826" w:type="dxa"/>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hideMark/>
          </w:tcPr>
          <w:p w:rsidR="00D32D5F" w:rsidRPr="00F947B2" w:rsidRDefault="00D32D5F" w:rsidP="00F511E6">
            <w:pPr>
              <w:spacing w:after="0" w:line="240" w:lineRule="auto"/>
              <w:jc w:val="center"/>
              <w:rPr>
                <w:rFonts w:eastAsia="Times New Roman" w:cs="Arial"/>
                <w:b/>
                <w:szCs w:val="20"/>
                <w:lang w:eastAsia="fr-BE"/>
              </w:rPr>
            </w:pPr>
            <w:r w:rsidRPr="00F947B2">
              <w:rPr>
                <w:rFonts w:eastAsia="Times New Roman" w:cs="Arial"/>
                <w:b/>
                <w:szCs w:val="20"/>
                <w:lang w:eastAsia="fr-BE"/>
              </w:rPr>
              <w:t>Objectif général</w:t>
            </w:r>
          </w:p>
        </w:tc>
        <w:tc>
          <w:tcPr>
            <w:tcW w:w="2540" w:type="dxa"/>
            <w:gridSpan w:val="2"/>
            <w:tcBorders>
              <w:top w:val="single" w:sz="4" w:space="0" w:color="auto"/>
              <w:left w:val="nil"/>
              <w:bottom w:val="single" w:sz="4" w:space="0" w:color="auto"/>
              <w:right w:val="single" w:sz="4" w:space="0" w:color="000000"/>
            </w:tcBorders>
            <w:shd w:val="clear" w:color="auto" w:fill="F7CAAC" w:themeFill="accent2" w:themeFillTint="66"/>
            <w:noWrap/>
            <w:hideMark/>
          </w:tcPr>
          <w:p w:rsidR="00D32D5F" w:rsidRPr="00F947B2" w:rsidRDefault="00D32D5F" w:rsidP="00C72B8E">
            <w:pPr>
              <w:spacing w:after="0" w:line="240" w:lineRule="auto"/>
              <w:jc w:val="center"/>
              <w:rPr>
                <w:rFonts w:eastAsia="Times New Roman" w:cs="Arial"/>
                <w:b/>
                <w:szCs w:val="20"/>
                <w:lang w:eastAsia="fr-BE"/>
              </w:rPr>
            </w:pPr>
            <w:r w:rsidRPr="00F947B2">
              <w:rPr>
                <w:rFonts w:eastAsia="Times New Roman" w:cs="Arial"/>
                <w:b/>
                <w:szCs w:val="20"/>
                <w:lang w:eastAsia="fr-BE"/>
              </w:rPr>
              <w:t>Objectifs intermédiaires</w:t>
            </w:r>
          </w:p>
        </w:tc>
        <w:tc>
          <w:tcPr>
            <w:tcW w:w="3806" w:type="dxa"/>
            <w:gridSpan w:val="2"/>
            <w:tcBorders>
              <w:top w:val="single" w:sz="4" w:space="0" w:color="auto"/>
              <w:left w:val="nil"/>
              <w:bottom w:val="single" w:sz="4" w:space="0" w:color="auto"/>
              <w:right w:val="single" w:sz="4" w:space="0" w:color="000000"/>
            </w:tcBorders>
            <w:shd w:val="clear" w:color="auto" w:fill="C5E0B3" w:themeFill="accent6" w:themeFillTint="66"/>
            <w:noWrap/>
            <w:hideMark/>
          </w:tcPr>
          <w:p w:rsidR="00D32D5F" w:rsidRPr="00F947B2" w:rsidRDefault="00D32D5F" w:rsidP="00C72B8E">
            <w:pPr>
              <w:spacing w:after="0" w:line="240" w:lineRule="auto"/>
              <w:jc w:val="center"/>
              <w:rPr>
                <w:rFonts w:eastAsia="Times New Roman" w:cs="Arial"/>
                <w:b/>
                <w:szCs w:val="20"/>
                <w:lang w:eastAsia="fr-BE"/>
              </w:rPr>
            </w:pPr>
            <w:r w:rsidRPr="00F947B2">
              <w:rPr>
                <w:rFonts w:eastAsia="Times New Roman" w:cs="Arial"/>
                <w:b/>
                <w:szCs w:val="20"/>
                <w:lang w:eastAsia="fr-BE"/>
              </w:rPr>
              <w:t>Objectifs opérationnels</w:t>
            </w:r>
          </w:p>
        </w:tc>
        <w:tc>
          <w:tcPr>
            <w:tcW w:w="4156" w:type="dxa"/>
            <w:tcBorders>
              <w:top w:val="single" w:sz="4" w:space="0" w:color="auto"/>
              <w:left w:val="nil"/>
              <w:bottom w:val="single" w:sz="4" w:space="0" w:color="auto"/>
              <w:right w:val="single" w:sz="4" w:space="0" w:color="000000"/>
            </w:tcBorders>
            <w:shd w:val="clear" w:color="auto" w:fill="auto"/>
            <w:noWrap/>
            <w:hideMark/>
          </w:tcPr>
          <w:p w:rsidR="00D32D5F" w:rsidRPr="00F947B2" w:rsidRDefault="00D32D5F" w:rsidP="00C72B8E">
            <w:pPr>
              <w:spacing w:after="0" w:line="240" w:lineRule="auto"/>
              <w:jc w:val="center"/>
              <w:rPr>
                <w:rFonts w:eastAsia="Times New Roman" w:cs="Arial"/>
                <w:b/>
                <w:szCs w:val="20"/>
                <w:lang w:eastAsia="fr-BE"/>
              </w:rPr>
            </w:pPr>
            <w:r w:rsidRPr="00F947B2">
              <w:rPr>
                <w:rFonts w:eastAsia="Times New Roman" w:cs="Arial"/>
                <w:b/>
                <w:szCs w:val="20"/>
                <w:lang w:eastAsia="fr-BE"/>
              </w:rPr>
              <w:t>Suggestions d'actions</w:t>
            </w:r>
          </w:p>
        </w:tc>
        <w:tc>
          <w:tcPr>
            <w:tcW w:w="581" w:type="dxa"/>
            <w:tcBorders>
              <w:top w:val="single" w:sz="4" w:space="0" w:color="auto"/>
              <w:left w:val="nil"/>
              <w:bottom w:val="single" w:sz="4" w:space="0" w:color="auto"/>
              <w:right w:val="single" w:sz="4" w:space="0" w:color="auto"/>
            </w:tcBorders>
            <w:shd w:val="clear" w:color="auto" w:fill="auto"/>
            <w:noWrap/>
            <w:hideMark/>
          </w:tcPr>
          <w:p w:rsidR="00D32D5F" w:rsidRPr="00F947B2" w:rsidRDefault="00D32D5F" w:rsidP="00C72B8E">
            <w:pPr>
              <w:spacing w:after="0" w:line="240" w:lineRule="auto"/>
              <w:jc w:val="center"/>
              <w:rPr>
                <w:rFonts w:eastAsia="Times New Roman" w:cs="Arial"/>
                <w:b/>
                <w:szCs w:val="20"/>
                <w:lang w:eastAsia="fr-BE"/>
              </w:rPr>
            </w:pPr>
            <w:r w:rsidRPr="00F947B2">
              <w:rPr>
                <w:rFonts w:eastAsia="Times New Roman" w:cs="Arial"/>
                <w:b/>
                <w:szCs w:val="20"/>
                <w:lang w:eastAsia="fr-BE"/>
              </w:rPr>
              <w:t>2022</w:t>
            </w:r>
          </w:p>
        </w:tc>
        <w:tc>
          <w:tcPr>
            <w:tcW w:w="581" w:type="dxa"/>
            <w:tcBorders>
              <w:top w:val="single" w:sz="4" w:space="0" w:color="auto"/>
              <w:left w:val="nil"/>
              <w:bottom w:val="single" w:sz="4" w:space="0" w:color="auto"/>
              <w:right w:val="single" w:sz="4" w:space="0" w:color="auto"/>
            </w:tcBorders>
            <w:shd w:val="clear" w:color="auto" w:fill="auto"/>
            <w:noWrap/>
            <w:hideMark/>
          </w:tcPr>
          <w:p w:rsidR="00D32D5F" w:rsidRPr="00F947B2" w:rsidRDefault="00D32D5F" w:rsidP="00C72B8E">
            <w:pPr>
              <w:spacing w:after="0" w:line="240" w:lineRule="auto"/>
              <w:jc w:val="center"/>
              <w:rPr>
                <w:rFonts w:eastAsia="Times New Roman" w:cs="Arial"/>
                <w:b/>
                <w:szCs w:val="20"/>
                <w:lang w:eastAsia="fr-BE"/>
              </w:rPr>
            </w:pPr>
            <w:r w:rsidRPr="00F947B2">
              <w:rPr>
                <w:rFonts w:eastAsia="Times New Roman" w:cs="Arial"/>
                <w:b/>
                <w:szCs w:val="20"/>
                <w:lang w:eastAsia="fr-BE"/>
              </w:rPr>
              <w:t>2023</w:t>
            </w:r>
          </w:p>
        </w:tc>
        <w:tc>
          <w:tcPr>
            <w:tcW w:w="656" w:type="dxa"/>
            <w:tcBorders>
              <w:top w:val="single" w:sz="4" w:space="0" w:color="auto"/>
              <w:left w:val="nil"/>
              <w:bottom w:val="single" w:sz="4" w:space="0" w:color="auto"/>
              <w:right w:val="single" w:sz="4" w:space="0" w:color="auto"/>
            </w:tcBorders>
            <w:shd w:val="clear" w:color="auto" w:fill="auto"/>
            <w:noWrap/>
            <w:hideMark/>
          </w:tcPr>
          <w:p w:rsidR="00D32D5F" w:rsidRPr="00F947B2" w:rsidRDefault="00D32D5F" w:rsidP="00C72B8E">
            <w:pPr>
              <w:spacing w:after="0" w:line="240" w:lineRule="auto"/>
              <w:jc w:val="center"/>
              <w:rPr>
                <w:rFonts w:eastAsia="Times New Roman" w:cs="Arial"/>
                <w:b/>
                <w:szCs w:val="20"/>
                <w:lang w:eastAsia="fr-BE"/>
              </w:rPr>
            </w:pPr>
            <w:r w:rsidRPr="00F947B2">
              <w:rPr>
                <w:rFonts w:eastAsia="Times New Roman" w:cs="Arial"/>
                <w:b/>
                <w:szCs w:val="20"/>
                <w:lang w:eastAsia="fr-BE"/>
              </w:rPr>
              <w:t>2024</w:t>
            </w:r>
          </w:p>
        </w:tc>
        <w:tc>
          <w:tcPr>
            <w:tcW w:w="546" w:type="dxa"/>
            <w:tcBorders>
              <w:top w:val="single" w:sz="4" w:space="0" w:color="auto"/>
              <w:left w:val="nil"/>
              <w:bottom w:val="single" w:sz="4" w:space="0" w:color="auto"/>
              <w:right w:val="single" w:sz="4" w:space="0" w:color="auto"/>
            </w:tcBorders>
            <w:shd w:val="clear" w:color="auto" w:fill="auto"/>
            <w:noWrap/>
            <w:hideMark/>
          </w:tcPr>
          <w:p w:rsidR="00D32D5F" w:rsidRPr="00F947B2" w:rsidRDefault="00D32D5F" w:rsidP="00C72B8E">
            <w:pPr>
              <w:rPr>
                <w:b/>
                <w:lang w:eastAsia="fr-BE"/>
              </w:rPr>
            </w:pPr>
            <w:r w:rsidRPr="00F947B2">
              <w:rPr>
                <w:b/>
                <w:lang w:eastAsia="fr-BE"/>
              </w:rPr>
              <w:t>2025</w:t>
            </w:r>
          </w:p>
        </w:tc>
      </w:tr>
      <w:tr w:rsidR="00F265C4" w:rsidRPr="00C6442C" w:rsidTr="00AB0241">
        <w:trPr>
          <w:trHeight w:val="850"/>
        </w:trPr>
        <w:tc>
          <w:tcPr>
            <w:tcW w:w="250" w:type="dxa"/>
            <w:vMerge w:val="restart"/>
            <w:tcBorders>
              <w:top w:val="single" w:sz="4" w:space="0" w:color="auto"/>
              <w:left w:val="single" w:sz="4" w:space="0" w:color="auto"/>
              <w:right w:val="single" w:sz="4" w:space="0" w:color="auto"/>
            </w:tcBorders>
            <w:shd w:val="clear" w:color="auto" w:fill="B4C6E7" w:themeFill="accent5" w:themeFillTint="66"/>
            <w:noWrap/>
          </w:tcPr>
          <w:p w:rsidR="00F265C4" w:rsidRPr="00B92F2A" w:rsidRDefault="00F265C4" w:rsidP="00A36445">
            <w:pPr>
              <w:rPr>
                <w:b/>
                <w:lang w:eastAsia="fr-BE"/>
              </w:rPr>
            </w:pPr>
            <w:r w:rsidRPr="00B92F2A">
              <w:rPr>
                <w:b/>
                <w:lang w:eastAsia="fr-BE"/>
              </w:rPr>
              <w:t>3</w:t>
            </w:r>
          </w:p>
        </w:tc>
        <w:tc>
          <w:tcPr>
            <w:tcW w:w="1576" w:type="dxa"/>
            <w:vMerge w:val="restart"/>
            <w:tcBorders>
              <w:top w:val="single" w:sz="4" w:space="0" w:color="auto"/>
              <w:left w:val="single" w:sz="4" w:space="0" w:color="auto"/>
              <w:right w:val="single" w:sz="4" w:space="0" w:color="auto"/>
            </w:tcBorders>
            <w:shd w:val="clear" w:color="auto" w:fill="C9C9C9" w:themeFill="accent3" w:themeFillTint="99"/>
            <w:noWrap/>
          </w:tcPr>
          <w:p w:rsidR="00F265C4" w:rsidRPr="00B92F2A" w:rsidRDefault="00F265C4" w:rsidP="00A36445">
            <w:pPr>
              <w:rPr>
                <w:b/>
                <w:lang w:eastAsia="fr-BE"/>
              </w:rPr>
            </w:pPr>
            <w:r w:rsidRPr="00B92F2A">
              <w:rPr>
                <w:b/>
                <w:lang w:eastAsia="fr-BE"/>
              </w:rPr>
              <w:t>Les habitants participent activement au processus des CLSS</w:t>
            </w:r>
          </w:p>
        </w:tc>
        <w:tc>
          <w:tcPr>
            <w:tcW w:w="437" w:type="dxa"/>
            <w:vMerge w:val="restart"/>
            <w:tcBorders>
              <w:top w:val="single" w:sz="4" w:space="0" w:color="auto"/>
              <w:left w:val="single" w:sz="4" w:space="0" w:color="auto"/>
              <w:right w:val="single" w:sz="4" w:space="0" w:color="auto"/>
            </w:tcBorders>
            <w:shd w:val="clear" w:color="auto" w:fill="F7CAAC" w:themeFill="accent2" w:themeFillTint="66"/>
            <w:noWrap/>
          </w:tcPr>
          <w:p w:rsidR="00F265C4" w:rsidRPr="00B92F2A" w:rsidRDefault="00F265C4" w:rsidP="00A36445">
            <w:pPr>
              <w:rPr>
                <w:b/>
                <w:lang w:eastAsia="fr-BE"/>
              </w:rPr>
            </w:pPr>
            <w:r w:rsidRPr="00B92F2A">
              <w:rPr>
                <w:b/>
                <w:lang w:eastAsia="fr-BE"/>
              </w:rPr>
              <w:t>3.1</w:t>
            </w:r>
          </w:p>
        </w:tc>
        <w:tc>
          <w:tcPr>
            <w:tcW w:w="2103" w:type="dxa"/>
            <w:vMerge w:val="restart"/>
            <w:tcBorders>
              <w:top w:val="single" w:sz="4" w:space="0" w:color="auto"/>
              <w:left w:val="single" w:sz="4" w:space="0" w:color="auto"/>
              <w:right w:val="single" w:sz="4" w:space="0" w:color="auto"/>
            </w:tcBorders>
            <w:shd w:val="clear" w:color="auto" w:fill="C9C9C9" w:themeFill="accent3" w:themeFillTint="99"/>
            <w:noWrap/>
          </w:tcPr>
          <w:p w:rsidR="00F265C4" w:rsidRPr="00B92F2A" w:rsidRDefault="00F265C4" w:rsidP="00A36445">
            <w:pPr>
              <w:rPr>
                <w:b/>
                <w:lang w:eastAsia="fr-BE"/>
              </w:rPr>
            </w:pPr>
            <w:r w:rsidRPr="00B92F2A">
              <w:rPr>
                <w:b/>
                <w:lang w:eastAsia="fr-BE"/>
              </w:rPr>
              <w:t>Les habitants intègrent le groupe de travail CLSS et y participent activement.</w:t>
            </w:r>
          </w:p>
        </w:tc>
        <w:tc>
          <w:tcPr>
            <w:tcW w:w="705" w:type="dxa"/>
            <w:vMerge w:val="restart"/>
            <w:tcBorders>
              <w:top w:val="single" w:sz="4" w:space="0" w:color="auto"/>
              <w:left w:val="nil"/>
              <w:right w:val="single" w:sz="4" w:space="0" w:color="auto"/>
            </w:tcBorders>
            <w:shd w:val="clear" w:color="auto" w:fill="C5E0B3" w:themeFill="accent6" w:themeFillTint="66"/>
            <w:noWrap/>
          </w:tcPr>
          <w:p w:rsidR="00F265C4" w:rsidRPr="00B92F2A" w:rsidRDefault="00F265C4" w:rsidP="00A36445">
            <w:pPr>
              <w:rPr>
                <w:b/>
                <w:lang w:eastAsia="fr-BE"/>
              </w:rPr>
            </w:pPr>
            <w:r w:rsidRPr="00B92F2A">
              <w:rPr>
                <w:b/>
                <w:lang w:eastAsia="fr-BE"/>
              </w:rPr>
              <w:t>3.1.1</w:t>
            </w:r>
          </w:p>
        </w:tc>
        <w:tc>
          <w:tcPr>
            <w:tcW w:w="3101" w:type="dxa"/>
            <w:vMerge w:val="restart"/>
            <w:tcBorders>
              <w:top w:val="single" w:sz="4" w:space="0" w:color="auto"/>
              <w:left w:val="nil"/>
              <w:right w:val="single" w:sz="4" w:space="0" w:color="auto"/>
            </w:tcBorders>
            <w:shd w:val="clear" w:color="auto" w:fill="C9C9C9" w:themeFill="accent3" w:themeFillTint="99"/>
            <w:noWrap/>
          </w:tcPr>
          <w:p w:rsidR="00F265C4" w:rsidRPr="00B92F2A" w:rsidRDefault="00F265C4" w:rsidP="00A36445">
            <w:pPr>
              <w:rPr>
                <w:b/>
                <w:lang w:val="fr-FR" w:eastAsia="fr-BE"/>
              </w:rPr>
            </w:pPr>
            <w:r w:rsidRPr="00B92F2A">
              <w:rPr>
                <w:b/>
                <w:lang w:eastAsia="fr-BE"/>
              </w:rPr>
              <w:t>Les GT CLSS s’appuient sur la méthodologie d’approche communautaire et sont pilotés avec une dimension participative qui inclut les habitants</w:t>
            </w:r>
          </w:p>
        </w:tc>
        <w:tc>
          <w:tcPr>
            <w:tcW w:w="4156" w:type="dxa"/>
            <w:tcBorders>
              <w:top w:val="single" w:sz="4" w:space="0" w:color="auto"/>
              <w:left w:val="nil"/>
              <w:bottom w:val="single" w:sz="4" w:space="0" w:color="auto"/>
              <w:right w:val="single" w:sz="4" w:space="0" w:color="auto"/>
            </w:tcBorders>
            <w:shd w:val="clear" w:color="auto" w:fill="C9C9C9" w:themeFill="accent3" w:themeFillTint="99"/>
            <w:noWrap/>
          </w:tcPr>
          <w:p w:rsidR="00F265C4" w:rsidRPr="00B92F2A" w:rsidRDefault="00F265C4" w:rsidP="00A36445">
            <w:pPr>
              <w:rPr>
                <w:b/>
                <w:lang w:eastAsia="fr-BE"/>
              </w:rPr>
            </w:pPr>
            <w:r w:rsidRPr="00B92F2A">
              <w:rPr>
                <w:b/>
                <w:lang w:val="fr-FR"/>
              </w:rPr>
              <w:t>Les associations porteuses des projets participent au groupe de travail dans le but de contribuer à l’évaluation du processus et développer le travail communautaire.</w:t>
            </w:r>
          </w:p>
        </w:tc>
        <w:tc>
          <w:tcPr>
            <w:tcW w:w="581" w:type="dxa"/>
            <w:tcBorders>
              <w:top w:val="nil"/>
              <w:left w:val="nil"/>
              <w:bottom w:val="single" w:sz="4" w:space="0" w:color="auto"/>
              <w:right w:val="single" w:sz="4" w:space="0" w:color="auto"/>
            </w:tcBorders>
            <w:shd w:val="clear" w:color="auto" w:fill="auto"/>
            <w:noWrap/>
          </w:tcPr>
          <w:p w:rsidR="00F265C4" w:rsidRPr="00C6442C" w:rsidRDefault="00F265C4" w:rsidP="00A36445">
            <w:pPr>
              <w:rPr>
                <w:lang w:eastAsia="fr-BE"/>
              </w:rPr>
            </w:pPr>
            <w:r>
              <w:rPr>
                <w:lang w:eastAsia="fr-BE"/>
              </w:rPr>
              <w:t>x</w:t>
            </w:r>
          </w:p>
        </w:tc>
        <w:tc>
          <w:tcPr>
            <w:tcW w:w="581" w:type="dxa"/>
            <w:tcBorders>
              <w:top w:val="nil"/>
              <w:left w:val="nil"/>
              <w:bottom w:val="single" w:sz="4" w:space="0" w:color="auto"/>
              <w:right w:val="single" w:sz="4" w:space="0" w:color="auto"/>
            </w:tcBorders>
            <w:shd w:val="clear" w:color="auto" w:fill="auto"/>
            <w:noWrap/>
          </w:tcPr>
          <w:p w:rsidR="00F265C4" w:rsidRPr="00C6442C" w:rsidRDefault="00F265C4" w:rsidP="00A36445">
            <w:pPr>
              <w:rPr>
                <w:lang w:eastAsia="fr-BE"/>
              </w:rPr>
            </w:pPr>
            <w:r>
              <w:rPr>
                <w:lang w:eastAsia="fr-BE"/>
              </w:rPr>
              <w:t>x</w:t>
            </w:r>
          </w:p>
        </w:tc>
        <w:tc>
          <w:tcPr>
            <w:tcW w:w="656" w:type="dxa"/>
            <w:tcBorders>
              <w:top w:val="nil"/>
              <w:left w:val="nil"/>
              <w:bottom w:val="single" w:sz="4" w:space="0" w:color="auto"/>
              <w:right w:val="single" w:sz="4" w:space="0" w:color="auto"/>
            </w:tcBorders>
            <w:shd w:val="clear" w:color="auto" w:fill="auto"/>
            <w:noWrap/>
          </w:tcPr>
          <w:p w:rsidR="00F265C4" w:rsidRPr="00C6442C" w:rsidRDefault="00F265C4" w:rsidP="00A36445">
            <w:pPr>
              <w:rPr>
                <w:lang w:eastAsia="fr-BE"/>
              </w:rPr>
            </w:pPr>
            <w:r>
              <w:rPr>
                <w:lang w:eastAsia="fr-BE"/>
              </w:rPr>
              <w:t>x</w:t>
            </w:r>
          </w:p>
        </w:tc>
        <w:tc>
          <w:tcPr>
            <w:tcW w:w="546" w:type="dxa"/>
            <w:tcBorders>
              <w:top w:val="nil"/>
              <w:left w:val="nil"/>
              <w:bottom w:val="single" w:sz="4" w:space="0" w:color="auto"/>
              <w:right w:val="single" w:sz="4" w:space="0" w:color="auto"/>
            </w:tcBorders>
            <w:shd w:val="clear" w:color="auto" w:fill="auto"/>
            <w:noWrap/>
          </w:tcPr>
          <w:p w:rsidR="00F265C4" w:rsidRPr="00C6442C" w:rsidRDefault="00F265C4" w:rsidP="00A36445">
            <w:pPr>
              <w:rPr>
                <w:lang w:eastAsia="fr-BE"/>
              </w:rPr>
            </w:pPr>
            <w:r>
              <w:rPr>
                <w:lang w:eastAsia="fr-BE"/>
              </w:rPr>
              <w:t>x</w:t>
            </w:r>
          </w:p>
        </w:tc>
      </w:tr>
      <w:tr w:rsidR="00F265C4" w:rsidRPr="00C6442C" w:rsidTr="00AB0241">
        <w:trPr>
          <w:trHeight w:val="254"/>
        </w:trPr>
        <w:tc>
          <w:tcPr>
            <w:tcW w:w="250" w:type="dxa"/>
            <w:vMerge/>
            <w:tcBorders>
              <w:left w:val="single" w:sz="4" w:space="0" w:color="auto"/>
              <w:right w:val="single" w:sz="4" w:space="0" w:color="auto"/>
            </w:tcBorders>
            <w:shd w:val="clear" w:color="auto" w:fill="B4C6E7" w:themeFill="accent5" w:themeFillTint="66"/>
            <w:noWrap/>
            <w:vAlign w:val="bottom"/>
          </w:tcPr>
          <w:p w:rsidR="00F265C4" w:rsidRPr="00B92F2A" w:rsidRDefault="00F265C4" w:rsidP="004C404F">
            <w:pPr>
              <w:spacing w:after="0" w:line="240" w:lineRule="auto"/>
              <w:rPr>
                <w:rFonts w:ascii="Arial" w:eastAsia="Times New Roman" w:hAnsi="Arial" w:cs="Arial"/>
                <w:b/>
                <w:szCs w:val="20"/>
                <w:lang w:eastAsia="fr-BE"/>
              </w:rPr>
            </w:pPr>
          </w:p>
        </w:tc>
        <w:tc>
          <w:tcPr>
            <w:tcW w:w="1576" w:type="dxa"/>
            <w:vMerge/>
            <w:tcBorders>
              <w:left w:val="single" w:sz="4" w:space="0" w:color="auto"/>
              <w:right w:val="single" w:sz="4" w:space="0" w:color="auto"/>
            </w:tcBorders>
            <w:shd w:val="clear" w:color="auto" w:fill="C9C9C9" w:themeFill="accent3" w:themeFillTint="99"/>
            <w:noWrap/>
          </w:tcPr>
          <w:p w:rsidR="00F265C4" w:rsidRPr="00B92F2A" w:rsidRDefault="00F265C4" w:rsidP="004C404F">
            <w:pPr>
              <w:spacing w:after="0" w:line="240" w:lineRule="auto"/>
              <w:rPr>
                <w:rFonts w:eastAsia="Times New Roman" w:cs="Arial"/>
                <w:b/>
                <w:szCs w:val="20"/>
                <w:lang w:eastAsia="fr-BE"/>
              </w:rPr>
            </w:pPr>
          </w:p>
        </w:tc>
        <w:tc>
          <w:tcPr>
            <w:tcW w:w="437" w:type="dxa"/>
            <w:vMerge/>
            <w:tcBorders>
              <w:left w:val="single" w:sz="4" w:space="0" w:color="auto"/>
              <w:right w:val="single" w:sz="4" w:space="0" w:color="auto"/>
            </w:tcBorders>
            <w:shd w:val="clear" w:color="auto" w:fill="F7CAAC" w:themeFill="accent2" w:themeFillTint="66"/>
            <w:noWrap/>
          </w:tcPr>
          <w:p w:rsidR="00F265C4" w:rsidRPr="00B92F2A" w:rsidRDefault="00F265C4" w:rsidP="004C404F">
            <w:pPr>
              <w:spacing w:after="0" w:line="240" w:lineRule="auto"/>
              <w:rPr>
                <w:rFonts w:eastAsia="Times New Roman" w:cs="Arial"/>
                <w:b/>
                <w:szCs w:val="20"/>
                <w:lang w:eastAsia="fr-BE"/>
              </w:rPr>
            </w:pPr>
          </w:p>
        </w:tc>
        <w:tc>
          <w:tcPr>
            <w:tcW w:w="2103" w:type="dxa"/>
            <w:vMerge/>
            <w:tcBorders>
              <w:left w:val="single" w:sz="4" w:space="0" w:color="auto"/>
              <w:right w:val="single" w:sz="4" w:space="0" w:color="auto"/>
            </w:tcBorders>
            <w:shd w:val="clear" w:color="auto" w:fill="C9C9C9" w:themeFill="accent3" w:themeFillTint="99"/>
            <w:noWrap/>
          </w:tcPr>
          <w:p w:rsidR="00F265C4" w:rsidRPr="00B92F2A" w:rsidRDefault="00F265C4" w:rsidP="004C404F">
            <w:pPr>
              <w:spacing w:after="0" w:line="240" w:lineRule="auto"/>
              <w:rPr>
                <w:rFonts w:eastAsia="Times New Roman" w:cs="Arial"/>
                <w:b/>
                <w:szCs w:val="20"/>
                <w:lang w:eastAsia="fr-BE"/>
              </w:rPr>
            </w:pPr>
          </w:p>
        </w:tc>
        <w:tc>
          <w:tcPr>
            <w:tcW w:w="705" w:type="dxa"/>
            <w:vMerge/>
            <w:tcBorders>
              <w:left w:val="nil"/>
              <w:right w:val="single" w:sz="4" w:space="0" w:color="auto"/>
            </w:tcBorders>
            <w:shd w:val="clear" w:color="auto" w:fill="C5E0B3" w:themeFill="accent6" w:themeFillTint="66"/>
            <w:noWrap/>
          </w:tcPr>
          <w:p w:rsidR="00F265C4" w:rsidRPr="00B92F2A" w:rsidRDefault="00F265C4" w:rsidP="004C404F">
            <w:pPr>
              <w:spacing w:after="0" w:line="240" w:lineRule="auto"/>
              <w:rPr>
                <w:rFonts w:eastAsia="Times New Roman" w:cs="Arial"/>
                <w:b/>
                <w:szCs w:val="20"/>
                <w:lang w:eastAsia="fr-BE"/>
              </w:rPr>
            </w:pPr>
          </w:p>
        </w:tc>
        <w:tc>
          <w:tcPr>
            <w:tcW w:w="3101" w:type="dxa"/>
            <w:vMerge/>
            <w:tcBorders>
              <w:left w:val="nil"/>
              <w:right w:val="single" w:sz="4" w:space="0" w:color="auto"/>
            </w:tcBorders>
            <w:shd w:val="clear" w:color="auto" w:fill="C9C9C9" w:themeFill="accent3" w:themeFillTint="99"/>
            <w:noWrap/>
          </w:tcPr>
          <w:p w:rsidR="00F265C4" w:rsidRPr="00B92F2A" w:rsidRDefault="00F265C4" w:rsidP="004C404F">
            <w:pPr>
              <w:spacing w:after="0" w:line="240" w:lineRule="auto"/>
              <w:rPr>
                <w:rFonts w:eastAsia="Times New Roman" w:cs="Arial"/>
                <w:b/>
                <w:szCs w:val="20"/>
                <w:lang w:eastAsia="fr-BE"/>
              </w:rPr>
            </w:pPr>
          </w:p>
        </w:tc>
        <w:tc>
          <w:tcPr>
            <w:tcW w:w="4156" w:type="dxa"/>
            <w:tcBorders>
              <w:top w:val="nil"/>
              <w:left w:val="nil"/>
              <w:bottom w:val="single" w:sz="4" w:space="0" w:color="auto"/>
              <w:right w:val="single" w:sz="4" w:space="0" w:color="auto"/>
            </w:tcBorders>
            <w:shd w:val="clear" w:color="auto" w:fill="C9C9C9" w:themeFill="accent3" w:themeFillTint="99"/>
            <w:noWrap/>
          </w:tcPr>
          <w:p w:rsidR="00F265C4" w:rsidRPr="00B92F2A" w:rsidRDefault="00F265C4" w:rsidP="004C404F">
            <w:pPr>
              <w:spacing w:after="0" w:line="240" w:lineRule="auto"/>
              <w:rPr>
                <w:rFonts w:eastAsia="Times New Roman" w:cs="Arial"/>
                <w:b/>
                <w:szCs w:val="20"/>
                <w:lang w:eastAsia="fr-BE"/>
              </w:rPr>
            </w:pPr>
            <w:r w:rsidRPr="00B92F2A">
              <w:rPr>
                <w:b/>
                <w:lang w:val="fr-FR"/>
              </w:rPr>
              <w:t>Une méthode d'accompagnement à la participation des usagers des services est formalisée, validée et implémentée par les membres du groupe de travail afin de favoriser la participation de toutes les parties prenantes.</w:t>
            </w:r>
          </w:p>
        </w:tc>
        <w:tc>
          <w:tcPr>
            <w:tcW w:w="581" w:type="dxa"/>
            <w:tcBorders>
              <w:top w:val="nil"/>
              <w:left w:val="nil"/>
              <w:bottom w:val="single" w:sz="4" w:space="0" w:color="auto"/>
              <w:right w:val="single" w:sz="4" w:space="0" w:color="auto"/>
            </w:tcBorders>
            <w:shd w:val="clear" w:color="auto" w:fill="auto"/>
            <w:noWrap/>
          </w:tcPr>
          <w:p w:rsidR="00F265C4" w:rsidRDefault="00F265C4" w:rsidP="004C404F">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581" w:type="dxa"/>
            <w:tcBorders>
              <w:top w:val="nil"/>
              <w:left w:val="nil"/>
              <w:bottom w:val="single" w:sz="4" w:space="0" w:color="auto"/>
              <w:right w:val="single" w:sz="4" w:space="0" w:color="auto"/>
            </w:tcBorders>
            <w:shd w:val="clear" w:color="auto" w:fill="auto"/>
            <w:noWrap/>
          </w:tcPr>
          <w:p w:rsidR="00F265C4" w:rsidRDefault="00F265C4" w:rsidP="004C404F">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656" w:type="dxa"/>
            <w:tcBorders>
              <w:top w:val="nil"/>
              <w:left w:val="nil"/>
              <w:bottom w:val="single" w:sz="4" w:space="0" w:color="auto"/>
              <w:right w:val="single" w:sz="4" w:space="0" w:color="auto"/>
            </w:tcBorders>
            <w:shd w:val="clear" w:color="auto" w:fill="auto"/>
            <w:noWrap/>
          </w:tcPr>
          <w:p w:rsidR="00F265C4" w:rsidRDefault="00F265C4" w:rsidP="004C404F">
            <w:pPr>
              <w:spacing w:after="0" w:line="240" w:lineRule="auto"/>
              <w:rPr>
                <w:rFonts w:eastAsia="Times New Roman" w:cs="Arial"/>
                <w:color w:val="000000"/>
                <w:szCs w:val="20"/>
                <w:lang w:eastAsia="fr-BE"/>
              </w:rPr>
            </w:pPr>
          </w:p>
        </w:tc>
        <w:tc>
          <w:tcPr>
            <w:tcW w:w="546" w:type="dxa"/>
            <w:tcBorders>
              <w:top w:val="nil"/>
              <w:left w:val="nil"/>
              <w:bottom w:val="single" w:sz="4" w:space="0" w:color="auto"/>
              <w:right w:val="single" w:sz="4" w:space="0" w:color="auto"/>
            </w:tcBorders>
            <w:shd w:val="clear" w:color="auto" w:fill="auto"/>
            <w:noWrap/>
          </w:tcPr>
          <w:p w:rsidR="00F265C4" w:rsidRPr="00C6442C" w:rsidRDefault="00F265C4" w:rsidP="004C404F">
            <w:pPr>
              <w:rPr>
                <w:lang w:eastAsia="fr-BE"/>
              </w:rPr>
            </w:pPr>
          </w:p>
        </w:tc>
      </w:tr>
      <w:tr w:rsidR="00F265C4" w:rsidRPr="00C6442C" w:rsidTr="00AB0241">
        <w:trPr>
          <w:trHeight w:val="769"/>
        </w:trPr>
        <w:tc>
          <w:tcPr>
            <w:tcW w:w="250" w:type="dxa"/>
            <w:vMerge/>
            <w:tcBorders>
              <w:left w:val="single" w:sz="4" w:space="0" w:color="auto"/>
              <w:bottom w:val="single" w:sz="4" w:space="0" w:color="auto"/>
              <w:right w:val="single" w:sz="4" w:space="0" w:color="auto"/>
            </w:tcBorders>
            <w:shd w:val="clear" w:color="auto" w:fill="B4C6E7" w:themeFill="accent5" w:themeFillTint="66"/>
            <w:noWrap/>
            <w:vAlign w:val="bottom"/>
            <w:hideMark/>
          </w:tcPr>
          <w:p w:rsidR="00F265C4" w:rsidRPr="00B92F2A" w:rsidRDefault="00F265C4" w:rsidP="00002107">
            <w:pPr>
              <w:spacing w:after="0" w:line="240" w:lineRule="auto"/>
              <w:rPr>
                <w:rFonts w:ascii="Arial" w:eastAsia="Times New Roman" w:hAnsi="Arial" w:cs="Arial"/>
                <w:b/>
                <w:szCs w:val="20"/>
                <w:lang w:eastAsia="fr-BE"/>
              </w:rPr>
            </w:pPr>
          </w:p>
        </w:tc>
        <w:tc>
          <w:tcPr>
            <w:tcW w:w="1576" w:type="dxa"/>
            <w:vMerge/>
            <w:tcBorders>
              <w:left w:val="single" w:sz="4" w:space="0" w:color="auto"/>
              <w:bottom w:val="single" w:sz="4" w:space="0" w:color="auto"/>
              <w:right w:val="single" w:sz="4" w:space="0" w:color="auto"/>
            </w:tcBorders>
            <w:shd w:val="clear" w:color="auto" w:fill="C9C9C9" w:themeFill="accent3" w:themeFillTint="99"/>
            <w:noWrap/>
          </w:tcPr>
          <w:p w:rsidR="00F265C4" w:rsidRPr="00B92F2A" w:rsidRDefault="00F265C4" w:rsidP="00002107">
            <w:pPr>
              <w:spacing w:after="0" w:line="240" w:lineRule="auto"/>
              <w:rPr>
                <w:rFonts w:eastAsia="Times New Roman" w:cs="Arial"/>
                <w:b/>
                <w:szCs w:val="20"/>
                <w:lang w:eastAsia="fr-BE"/>
              </w:rPr>
            </w:pPr>
          </w:p>
        </w:tc>
        <w:tc>
          <w:tcPr>
            <w:tcW w:w="437" w:type="dxa"/>
            <w:vMerge/>
            <w:tcBorders>
              <w:left w:val="single" w:sz="4" w:space="0" w:color="auto"/>
              <w:bottom w:val="single" w:sz="4" w:space="0" w:color="auto"/>
              <w:right w:val="single" w:sz="4" w:space="0" w:color="auto"/>
            </w:tcBorders>
            <w:shd w:val="clear" w:color="auto" w:fill="F7CAAC" w:themeFill="accent2" w:themeFillTint="66"/>
            <w:noWrap/>
          </w:tcPr>
          <w:p w:rsidR="00F265C4" w:rsidRPr="00B92F2A" w:rsidRDefault="00F265C4" w:rsidP="00002107">
            <w:pPr>
              <w:spacing w:after="0" w:line="240" w:lineRule="auto"/>
              <w:rPr>
                <w:rFonts w:eastAsia="Times New Roman" w:cs="Arial"/>
                <w:b/>
                <w:szCs w:val="20"/>
                <w:lang w:eastAsia="fr-BE"/>
              </w:rPr>
            </w:pPr>
          </w:p>
        </w:tc>
        <w:tc>
          <w:tcPr>
            <w:tcW w:w="2103" w:type="dxa"/>
            <w:vMerge/>
            <w:tcBorders>
              <w:left w:val="single" w:sz="4" w:space="0" w:color="auto"/>
              <w:bottom w:val="single" w:sz="4" w:space="0" w:color="auto"/>
              <w:right w:val="single" w:sz="4" w:space="0" w:color="auto"/>
            </w:tcBorders>
            <w:shd w:val="clear" w:color="auto" w:fill="C9C9C9" w:themeFill="accent3" w:themeFillTint="99"/>
            <w:noWrap/>
          </w:tcPr>
          <w:p w:rsidR="00F265C4" w:rsidRPr="00B92F2A" w:rsidRDefault="00F265C4" w:rsidP="00002107">
            <w:pPr>
              <w:spacing w:after="0" w:line="240" w:lineRule="auto"/>
              <w:rPr>
                <w:rFonts w:eastAsia="Times New Roman" w:cs="Arial"/>
                <w:b/>
                <w:szCs w:val="20"/>
                <w:lang w:eastAsia="fr-BE"/>
              </w:rPr>
            </w:pPr>
          </w:p>
        </w:tc>
        <w:tc>
          <w:tcPr>
            <w:tcW w:w="705" w:type="dxa"/>
            <w:vMerge/>
            <w:tcBorders>
              <w:left w:val="nil"/>
              <w:bottom w:val="single" w:sz="4" w:space="0" w:color="auto"/>
              <w:right w:val="single" w:sz="4" w:space="0" w:color="auto"/>
            </w:tcBorders>
            <w:shd w:val="clear" w:color="auto" w:fill="C5E0B3" w:themeFill="accent6" w:themeFillTint="66"/>
            <w:noWrap/>
          </w:tcPr>
          <w:p w:rsidR="00F265C4" w:rsidRPr="00B92F2A" w:rsidRDefault="00F265C4" w:rsidP="00002107">
            <w:pPr>
              <w:spacing w:after="0" w:line="240" w:lineRule="auto"/>
              <w:rPr>
                <w:rFonts w:eastAsia="Times New Roman" w:cs="Arial"/>
                <w:b/>
                <w:szCs w:val="20"/>
                <w:lang w:eastAsia="fr-BE"/>
              </w:rPr>
            </w:pPr>
          </w:p>
        </w:tc>
        <w:tc>
          <w:tcPr>
            <w:tcW w:w="3101" w:type="dxa"/>
            <w:vMerge/>
            <w:tcBorders>
              <w:left w:val="nil"/>
              <w:bottom w:val="single" w:sz="4" w:space="0" w:color="auto"/>
              <w:right w:val="single" w:sz="4" w:space="0" w:color="auto"/>
            </w:tcBorders>
            <w:shd w:val="clear" w:color="auto" w:fill="C9C9C9" w:themeFill="accent3" w:themeFillTint="99"/>
            <w:noWrap/>
          </w:tcPr>
          <w:p w:rsidR="00F265C4" w:rsidRPr="00B92F2A" w:rsidRDefault="00F265C4" w:rsidP="00002107">
            <w:pPr>
              <w:spacing w:after="0" w:line="240" w:lineRule="auto"/>
              <w:rPr>
                <w:rFonts w:eastAsia="Times New Roman" w:cs="Arial"/>
                <w:b/>
                <w:szCs w:val="20"/>
                <w:lang w:eastAsia="fr-BE"/>
              </w:rPr>
            </w:pPr>
          </w:p>
        </w:tc>
        <w:tc>
          <w:tcPr>
            <w:tcW w:w="4156" w:type="dxa"/>
            <w:tcBorders>
              <w:top w:val="single" w:sz="4" w:space="0" w:color="auto"/>
              <w:left w:val="nil"/>
              <w:bottom w:val="single" w:sz="4" w:space="0" w:color="auto"/>
              <w:right w:val="single" w:sz="4" w:space="0" w:color="auto"/>
            </w:tcBorders>
            <w:shd w:val="clear" w:color="auto" w:fill="C9C9C9" w:themeFill="accent3" w:themeFillTint="99"/>
            <w:noWrap/>
          </w:tcPr>
          <w:p w:rsidR="00F265C4" w:rsidRPr="00B92F2A" w:rsidRDefault="00F265C4" w:rsidP="00002107">
            <w:pPr>
              <w:rPr>
                <w:b/>
              </w:rPr>
            </w:pPr>
            <w:r w:rsidRPr="00B92F2A">
              <w:rPr>
                <w:b/>
              </w:rPr>
              <w:t>Les membres du groupe de travail informent et mobilisent dans le quartier sur les actions par les CLSS.</w:t>
            </w:r>
          </w:p>
        </w:tc>
        <w:tc>
          <w:tcPr>
            <w:tcW w:w="581" w:type="dxa"/>
            <w:tcBorders>
              <w:top w:val="single" w:sz="4" w:space="0" w:color="auto"/>
              <w:left w:val="nil"/>
              <w:bottom w:val="single" w:sz="4" w:space="0" w:color="auto"/>
              <w:right w:val="single" w:sz="4" w:space="0" w:color="auto"/>
            </w:tcBorders>
            <w:shd w:val="clear" w:color="auto" w:fill="auto"/>
            <w:noWrap/>
          </w:tcPr>
          <w:p w:rsidR="00F265C4" w:rsidRPr="00C6442C" w:rsidRDefault="00F265C4" w:rsidP="00002107">
            <w:pPr>
              <w:spacing w:after="0" w:line="240" w:lineRule="auto"/>
              <w:rPr>
                <w:rFonts w:eastAsia="Times New Roman" w:cs="Arial"/>
                <w:color w:val="000000"/>
                <w:szCs w:val="20"/>
                <w:lang w:eastAsia="fr-BE"/>
              </w:rPr>
            </w:pPr>
          </w:p>
        </w:tc>
        <w:tc>
          <w:tcPr>
            <w:tcW w:w="581" w:type="dxa"/>
            <w:tcBorders>
              <w:top w:val="single" w:sz="4" w:space="0" w:color="auto"/>
              <w:left w:val="nil"/>
              <w:bottom w:val="single" w:sz="4" w:space="0" w:color="auto"/>
              <w:right w:val="single" w:sz="4" w:space="0" w:color="auto"/>
            </w:tcBorders>
            <w:shd w:val="clear" w:color="auto" w:fill="auto"/>
            <w:noWrap/>
          </w:tcPr>
          <w:p w:rsidR="00F265C4" w:rsidRPr="00C6442C" w:rsidRDefault="00F265C4" w:rsidP="00002107">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656" w:type="dxa"/>
            <w:tcBorders>
              <w:top w:val="single" w:sz="4" w:space="0" w:color="auto"/>
              <w:left w:val="nil"/>
              <w:bottom w:val="single" w:sz="4" w:space="0" w:color="auto"/>
              <w:right w:val="single" w:sz="4" w:space="0" w:color="auto"/>
            </w:tcBorders>
            <w:shd w:val="clear" w:color="auto" w:fill="auto"/>
            <w:noWrap/>
          </w:tcPr>
          <w:p w:rsidR="00F265C4" w:rsidRPr="00C6442C" w:rsidRDefault="00F265C4" w:rsidP="00002107">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546" w:type="dxa"/>
            <w:tcBorders>
              <w:top w:val="single" w:sz="4" w:space="0" w:color="auto"/>
              <w:left w:val="nil"/>
              <w:bottom w:val="single" w:sz="4" w:space="0" w:color="auto"/>
              <w:right w:val="single" w:sz="4" w:space="0" w:color="auto"/>
            </w:tcBorders>
            <w:shd w:val="clear" w:color="auto" w:fill="auto"/>
            <w:noWrap/>
          </w:tcPr>
          <w:p w:rsidR="00F265C4" w:rsidRPr="00C6442C" w:rsidRDefault="00F265C4" w:rsidP="00002107">
            <w:pPr>
              <w:rPr>
                <w:lang w:eastAsia="fr-BE"/>
              </w:rPr>
            </w:pPr>
            <w:r>
              <w:rPr>
                <w:lang w:eastAsia="fr-BE"/>
              </w:rPr>
              <w:t>x</w:t>
            </w:r>
          </w:p>
        </w:tc>
      </w:tr>
    </w:tbl>
    <w:p w:rsidR="00F947B2" w:rsidRDefault="00F947B2" w:rsidP="00AF7741">
      <w:pPr>
        <w:rPr>
          <w:sz w:val="10"/>
        </w:rPr>
      </w:pPr>
    </w:p>
    <w:p w:rsidR="00F947B2" w:rsidRDefault="00F947B2" w:rsidP="00F947B2">
      <w:r>
        <w:br w:type="page"/>
      </w:r>
    </w:p>
    <w:p w:rsidR="00AF7741" w:rsidRPr="00F265C4" w:rsidRDefault="00AF7741" w:rsidP="00AF7741">
      <w:pPr>
        <w:rPr>
          <w:sz w:val="10"/>
        </w:rPr>
      </w:pPr>
    </w:p>
    <w:p w:rsidR="00E960BF" w:rsidRDefault="00E960BF" w:rsidP="00F947B2">
      <w:pPr>
        <w:pBdr>
          <w:top w:val="single" w:sz="4" w:space="1" w:color="auto"/>
          <w:left w:val="single" w:sz="4" w:space="1" w:color="auto"/>
          <w:bottom w:val="single" w:sz="4" w:space="1" w:color="auto"/>
          <w:right w:val="single" w:sz="4" w:space="4" w:color="auto"/>
        </w:pBdr>
        <w:shd w:val="clear" w:color="auto" w:fill="B4C6E7" w:themeFill="accent5" w:themeFillTint="66"/>
        <w:ind w:right="797"/>
        <w:rPr>
          <w:b/>
        </w:rPr>
      </w:pPr>
      <w:r w:rsidRPr="00F947B2">
        <w:rPr>
          <w:b/>
        </w:rPr>
        <w:t xml:space="preserve">Objectifs transversal 2: </w:t>
      </w:r>
      <w:r w:rsidR="00F265C4" w:rsidRPr="00F947B2">
        <w:rPr>
          <w:b/>
        </w:rPr>
        <w:t>Les usagers sont respectés dans leurs besoins, leurs attentes et leur dignité</w:t>
      </w:r>
    </w:p>
    <w:p w:rsidR="009A0430" w:rsidRPr="006B52D2" w:rsidRDefault="009A0430" w:rsidP="009A0430">
      <w:pPr>
        <w:ind w:right="797"/>
        <w:rPr>
          <w:b/>
          <w:i/>
        </w:rPr>
      </w:pPr>
      <w:r w:rsidRPr="006B52D2">
        <w:rPr>
          <w:b/>
          <w:i/>
        </w:rPr>
        <w:t xml:space="preserve">Les objectifs en </w:t>
      </w:r>
      <w:r>
        <w:rPr>
          <w:b/>
          <w:i/>
        </w:rPr>
        <w:t xml:space="preserve">gris et en gras </w:t>
      </w:r>
      <w:r w:rsidRPr="006B52D2">
        <w:rPr>
          <w:b/>
          <w:i/>
        </w:rPr>
        <w:t xml:space="preserve"> sont ceux qui seront pilotés par le CPAS et ne </w:t>
      </w:r>
      <w:r>
        <w:rPr>
          <w:b/>
          <w:i/>
        </w:rPr>
        <w:t>feront pas l’objet de l’appel à projets. Cet objectif est intégré dans le rôle des référents quartier et du groupe de travail CLSS.</w:t>
      </w:r>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
        <w:gridCol w:w="1585"/>
        <w:gridCol w:w="439"/>
        <w:gridCol w:w="2115"/>
        <w:gridCol w:w="708"/>
        <w:gridCol w:w="3119"/>
        <w:gridCol w:w="4111"/>
        <w:gridCol w:w="584"/>
        <w:gridCol w:w="584"/>
        <w:gridCol w:w="659"/>
        <w:gridCol w:w="546"/>
      </w:tblGrid>
      <w:tr w:rsidR="003A4EA0" w:rsidRPr="00370EC5" w:rsidTr="00AB0241">
        <w:trPr>
          <w:trHeight w:val="254"/>
        </w:trPr>
        <w:tc>
          <w:tcPr>
            <w:tcW w:w="1836" w:type="dxa"/>
            <w:gridSpan w:val="2"/>
            <w:shd w:val="clear" w:color="auto" w:fill="B4C6E7" w:themeFill="accent5" w:themeFillTint="66"/>
            <w:noWrap/>
            <w:hideMark/>
          </w:tcPr>
          <w:p w:rsidR="00D32D5F" w:rsidRPr="00370EC5" w:rsidRDefault="00D32D5F" w:rsidP="00C72B8E">
            <w:pPr>
              <w:spacing w:after="0" w:line="240" w:lineRule="auto"/>
              <w:jc w:val="center"/>
              <w:rPr>
                <w:rFonts w:eastAsia="Times New Roman" w:cs="Arial"/>
                <w:b/>
                <w:szCs w:val="20"/>
                <w:lang w:eastAsia="fr-BE"/>
              </w:rPr>
            </w:pPr>
            <w:r w:rsidRPr="00370EC5">
              <w:rPr>
                <w:rFonts w:eastAsia="Times New Roman" w:cs="Arial"/>
                <w:b/>
                <w:szCs w:val="20"/>
                <w:lang w:eastAsia="fr-BE"/>
              </w:rPr>
              <w:t>Objectif général</w:t>
            </w:r>
          </w:p>
        </w:tc>
        <w:tc>
          <w:tcPr>
            <w:tcW w:w="2554" w:type="dxa"/>
            <w:gridSpan w:val="2"/>
            <w:shd w:val="clear" w:color="auto" w:fill="F7CAAC" w:themeFill="accent2" w:themeFillTint="66"/>
            <w:noWrap/>
            <w:hideMark/>
          </w:tcPr>
          <w:p w:rsidR="00D32D5F" w:rsidRPr="00370EC5" w:rsidRDefault="00D32D5F" w:rsidP="00C72B8E">
            <w:pPr>
              <w:spacing w:after="0" w:line="240" w:lineRule="auto"/>
              <w:jc w:val="center"/>
              <w:rPr>
                <w:rFonts w:eastAsia="Times New Roman" w:cs="Arial"/>
                <w:b/>
                <w:szCs w:val="20"/>
                <w:lang w:eastAsia="fr-BE"/>
              </w:rPr>
            </w:pPr>
            <w:r w:rsidRPr="00370EC5">
              <w:rPr>
                <w:rFonts w:eastAsia="Times New Roman" w:cs="Arial"/>
                <w:b/>
                <w:szCs w:val="20"/>
                <w:lang w:eastAsia="fr-BE"/>
              </w:rPr>
              <w:t>Objectifs intermédiaires</w:t>
            </w:r>
          </w:p>
        </w:tc>
        <w:tc>
          <w:tcPr>
            <w:tcW w:w="3827" w:type="dxa"/>
            <w:gridSpan w:val="2"/>
            <w:shd w:val="clear" w:color="auto" w:fill="C5E0B3" w:themeFill="accent6" w:themeFillTint="66"/>
            <w:noWrap/>
            <w:hideMark/>
          </w:tcPr>
          <w:p w:rsidR="00D32D5F" w:rsidRPr="00370EC5" w:rsidRDefault="00D32D5F" w:rsidP="00C72B8E">
            <w:pPr>
              <w:spacing w:after="0" w:line="240" w:lineRule="auto"/>
              <w:jc w:val="center"/>
              <w:rPr>
                <w:rFonts w:eastAsia="Times New Roman" w:cs="Arial"/>
                <w:b/>
                <w:szCs w:val="20"/>
                <w:lang w:eastAsia="fr-BE"/>
              </w:rPr>
            </w:pPr>
            <w:r w:rsidRPr="00370EC5">
              <w:rPr>
                <w:rFonts w:eastAsia="Times New Roman" w:cs="Arial"/>
                <w:b/>
                <w:szCs w:val="20"/>
                <w:lang w:eastAsia="fr-BE"/>
              </w:rPr>
              <w:t>Objectifs opérationnels</w:t>
            </w:r>
          </w:p>
        </w:tc>
        <w:tc>
          <w:tcPr>
            <w:tcW w:w="4111" w:type="dxa"/>
            <w:shd w:val="clear" w:color="auto" w:fill="FFFFFF" w:themeFill="background1"/>
            <w:noWrap/>
            <w:hideMark/>
          </w:tcPr>
          <w:p w:rsidR="00D32D5F" w:rsidRPr="00370EC5" w:rsidRDefault="00D32D5F" w:rsidP="00C72B8E">
            <w:pPr>
              <w:spacing w:after="0" w:line="240" w:lineRule="auto"/>
              <w:jc w:val="center"/>
              <w:rPr>
                <w:rFonts w:eastAsia="Times New Roman" w:cs="Arial"/>
                <w:b/>
                <w:szCs w:val="20"/>
                <w:lang w:eastAsia="fr-BE"/>
              </w:rPr>
            </w:pPr>
            <w:r w:rsidRPr="00370EC5">
              <w:rPr>
                <w:rFonts w:eastAsia="Times New Roman" w:cs="Arial"/>
                <w:b/>
                <w:szCs w:val="20"/>
                <w:lang w:eastAsia="fr-BE"/>
              </w:rPr>
              <w:t>Suggestions d'actions</w:t>
            </w:r>
          </w:p>
        </w:tc>
        <w:tc>
          <w:tcPr>
            <w:tcW w:w="584" w:type="dxa"/>
            <w:shd w:val="clear" w:color="auto" w:fill="FFFFFF" w:themeFill="background1"/>
            <w:noWrap/>
            <w:hideMark/>
          </w:tcPr>
          <w:p w:rsidR="00D32D5F" w:rsidRPr="00370EC5" w:rsidRDefault="00D32D5F" w:rsidP="00C72B8E">
            <w:pPr>
              <w:spacing w:after="0" w:line="240" w:lineRule="auto"/>
              <w:jc w:val="center"/>
              <w:rPr>
                <w:rFonts w:eastAsia="Times New Roman" w:cs="Arial"/>
                <w:b/>
                <w:szCs w:val="20"/>
                <w:lang w:eastAsia="fr-BE"/>
              </w:rPr>
            </w:pPr>
            <w:r w:rsidRPr="00370EC5">
              <w:rPr>
                <w:rFonts w:eastAsia="Times New Roman" w:cs="Arial"/>
                <w:b/>
                <w:szCs w:val="20"/>
                <w:lang w:eastAsia="fr-BE"/>
              </w:rPr>
              <w:t>2022</w:t>
            </w:r>
          </w:p>
        </w:tc>
        <w:tc>
          <w:tcPr>
            <w:tcW w:w="584" w:type="dxa"/>
            <w:shd w:val="clear" w:color="auto" w:fill="FFFFFF" w:themeFill="background1"/>
            <w:noWrap/>
            <w:hideMark/>
          </w:tcPr>
          <w:p w:rsidR="00D32D5F" w:rsidRPr="00370EC5" w:rsidRDefault="00D32D5F" w:rsidP="00C72B8E">
            <w:pPr>
              <w:spacing w:after="0" w:line="240" w:lineRule="auto"/>
              <w:jc w:val="center"/>
              <w:rPr>
                <w:rFonts w:eastAsia="Times New Roman" w:cs="Arial"/>
                <w:b/>
                <w:szCs w:val="20"/>
                <w:lang w:eastAsia="fr-BE"/>
              </w:rPr>
            </w:pPr>
            <w:r w:rsidRPr="00370EC5">
              <w:rPr>
                <w:rFonts w:eastAsia="Times New Roman" w:cs="Arial"/>
                <w:b/>
                <w:szCs w:val="20"/>
                <w:lang w:eastAsia="fr-BE"/>
              </w:rPr>
              <w:t>2023</w:t>
            </w:r>
          </w:p>
        </w:tc>
        <w:tc>
          <w:tcPr>
            <w:tcW w:w="659" w:type="dxa"/>
            <w:shd w:val="clear" w:color="auto" w:fill="FFFFFF" w:themeFill="background1"/>
            <w:noWrap/>
            <w:hideMark/>
          </w:tcPr>
          <w:p w:rsidR="00D32D5F" w:rsidRPr="00370EC5" w:rsidRDefault="00D32D5F" w:rsidP="00C72B8E">
            <w:pPr>
              <w:spacing w:after="0" w:line="240" w:lineRule="auto"/>
              <w:jc w:val="center"/>
              <w:rPr>
                <w:rFonts w:eastAsia="Times New Roman" w:cs="Arial"/>
                <w:b/>
                <w:szCs w:val="20"/>
                <w:lang w:eastAsia="fr-BE"/>
              </w:rPr>
            </w:pPr>
            <w:r w:rsidRPr="00370EC5">
              <w:rPr>
                <w:rFonts w:eastAsia="Times New Roman" w:cs="Arial"/>
                <w:b/>
                <w:szCs w:val="20"/>
                <w:lang w:eastAsia="fr-BE"/>
              </w:rPr>
              <w:t>2024</w:t>
            </w:r>
          </w:p>
        </w:tc>
        <w:tc>
          <w:tcPr>
            <w:tcW w:w="546" w:type="dxa"/>
            <w:shd w:val="clear" w:color="auto" w:fill="FFFFFF" w:themeFill="background1"/>
            <w:noWrap/>
            <w:hideMark/>
          </w:tcPr>
          <w:p w:rsidR="00D32D5F" w:rsidRPr="00370EC5" w:rsidRDefault="00D32D5F" w:rsidP="00C72B8E">
            <w:pPr>
              <w:rPr>
                <w:b/>
                <w:lang w:eastAsia="fr-BE"/>
              </w:rPr>
            </w:pPr>
            <w:r w:rsidRPr="00370EC5">
              <w:rPr>
                <w:b/>
                <w:lang w:eastAsia="fr-BE"/>
              </w:rPr>
              <w:t>2025</w:t>
            </w:r>
          </w:p>
        </w:tc>
      </w:tr>
      <w:tr w:rsidR="00D32D5F" w:rsidRPr="00C6442C" w:rsidTr="008450EB">
        <w:trPr>
          <w:trHeight w:val="670"/>
        </w:trPr>
        <w:tc>
          <w:tcPr>
            <w:tcW w:w="251" w:type="dxa"/>
            <w:vMerge w:val="restart"/>
            <w:shd w:val="clear" w:color="auto" w:fill="B4C6E7" w:themeFill="accent5" w:themeFillTint="66"/>
            <w:noWrap/>
          </w:tcPr>
          <w:p w:rsidR="00D32D5F" w:rsidRPr="00C6442C" w:rsidRDefault="00D32D5F" w:rsidP="00A36445">
            <w:pPr>
              <w:rPr>
                <w:lang w:eastAsia="fr-BE"/>
              </w:rPr>
            </w:pPr>
            <w:r>
              <w:rPr>
                <w:lang w:eastAsia="fr-BE"/>
              </w:rPr>
              <w:t>4</w:t>
            </w:r>
          </w:p>
        </w:tc>
        <w:tc>
          <w:tcPr>
            <w:tcW w:w="1585" w:type="dxa"/>
            <w:vMerge w:val="restart"/>
            <w:shd w:val="clear" w:color="auto" w:fill="auto"/>
            <w:noWrap/>
          </w:tcPr>
          <w:p w:rsidR="00D32D5F" w:rsidRPr="00B92F2A" w:rsidRDefault="00D32D5F" w:rsidP="00C72B8E">
            <w:pPr>
              <w:spacing w:after="0" w:line="240" w:lineRule="auto"/>
              <w:rPr>
                <w:b/>
                <w:lang w:eastAsia="fr-BE"/>
              </w:rPr>
            </w:pPr>
            <w:r w:rsidRPr="00B92F2A">
              <w:rPr>
                <w:b/>
              </w:rPr>
              <w:t>Les services au public assurent un accueil et un suivi des demandes de leurs usagers en respect de leurs besoins, de leurs attentes et de leur dignité.</w:t>
            </w:r>
          </w:p>
        </w:tc>
        <w:tc>
          <w:tcPr>
            <w:tcW w:w="439" w:type="dxa"/>
            <w:vMerge w:val="restart"/>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p>
        </w:tc>
        <w:tc>
          <w:tcPr>
            <w:tcW w:w="2115" w:type="dxa"/>
            <w:vMerge w:val="restart"/>
            <w:shd w:val="clear" w:color="auto" w:fill="auto"/>
            <w:noWrap/>
          </w:tcPr>
          <w:p w:rsidR="00D32D5F" w:rsidRPr="00B92F2A" w:rsidRDefault="00D32D5F" w:rsidP="003A4EA0">
            <w:pPr>
              <w:spacing w:after="0" w:line="240" w:lineRule="auto"/>
              <w:rPr>
                <w:b/>
                <w:lang w:eastAsia="fr-BE"/>
              </w:rPr>
            </w:pPr>
          </w:p>
        </w:tc>
        <w:tc>
          <w:tcPr>
            <w:tcW w:w="708" w:type="dxa"/>
            <w:vMerge w:val="restart"/>
            <w:shd w:val="clear" w:color="auto" w:fill="C5E0B3" w:themeFill="accent6" w:themeFillTint="66"/>
            <w:noWrap/>
          </w:tcPr>
          <w:p w:rsidR="00D32D5F" w:rsidRPr="00B92F2A" w:rsidRDefault="003A4EA0" w:rsidP="00C72B8E">
            <w:pPr>
              <w:spacing w:after="0" w:line="240" w:lineRule="auto"/>
              <w:rPr>
                <w:rFonts w:eastAsia="Times New Roman" w:cs="Arial"/>
                <w:b/>
                <w:color w:val="000000"/>
                <w:szCs w:val="20"/>
                <w:lang w:eastAsia="fr-BE"/>
              </w:rPr>
            </w:pPr>
            <w:r w:rsidRPr="00B92F2A">
              <w:rPr>
                <w:rFonts w:eastAsia="Times New Roman" w:cs="Arial"/>
                <w:b/>
                <w:color w:val="000000"/>
                <w:szCs w:val="20"/>
                <w:lang w:eastAsia="fr-BE"/>
              </w:rPr>
              <w:t>4.0.1</w:t>
            </w:r>
          </w:p>
        </w:tc>
        <w:tc>
          <w:tcPr>
            <w:tcW w:w="3119" w:type="dxa"/>
            <w:vMerge w:val="restart"/>
            <w:shd w:val="clear" w:color="auto" w:fill="auto"/>
            <w:noWrap/>
          </w:tcPr>
          <w:p w:rsidR="00D32D5F" w:rsidRPr="00B92F2A" w:rsidRDefault="003A4EA0" w:rsidP="00C72B8E">
            <w:pPr>
              <w:spacing w:after="0" w:line="240" w:lineRule="auto"/>
              <w:rPr>
                <w:rFonts w:eastAsia="Times New Roman" w:cs="Arial"/>
                <w:b/>
                <w:color w:val="000000"/>
                <w:szCs w:val="20"/>
                <w:lang w:eastAsia="fr-BE"/>
              </w:rPr>
            </w:pPr>
            <w:r w:rsidRPr="00B92F2A">
              <w:rPr>
                <w:b/>
                <w:lang w:val="fr-FR" w:eastAsia="fr-BE"/>
              </w:rPr>
              <w:t>Les sources menant aux constats de cette distance sont documentés dans les deux quartiers du projet.</w:t>
            </w:r>
          </w:p>
        </w:tc>
        <w:tc>
          <w:tcPr>
            <w:tcW w:w="4111" w:type="dxa"/>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r w:rsidRPr="00B92F2A">
              <w:rPr>
                <w:b/>
                <w:lang w:val="fr-FR"/>
              </w:rPr>
              <w:t>Un groupe de travail par quartier est créé pour identifier dresser</w:t>
            </w:r>
            <w:r w:rsidR="00F265C4" w:rsidRPr="00B92F2A">
              <w:rPr>
                <w:b/>
                <w:lang w:val="fr-FR"/>
              </w:rPr>
              <w:t xml:space="preserve"> les constats et les documenter. </w:t>
            </w:r>
          </w:p>
        </w:tc>
        <w:tc>
          <w:tcPr>
            <w:tcW w:w="584" w:type="dxa"/>
            <w:shd w:val="clear" w:color="auto" w:fill="auto"/>
            <w:noWrap/>
          </w:tcPr>
          <w:p w:rsidR="00D32D5F" w:rsidRPr="00C6442C" w:rsidRDefault="00D32D5F" w:rsidP="00C72B8E">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584" w:type="dxa"/>
            <w:shd w:val="clear" w:color="auto" w:fill="auto"/>
            <w:noWrap/>
          </w:tcPr>
          <w:p w:rsidR="00D32D5F" w:rsidRPr="00C6442C" w:rsidRDefault="00D32D5F" w:rsidP="00C72B8E">
            <w:pPr>
              <w:spacing w:after="0" w:line="240" w:lineRule="auto"/>
              <w:rPr>
                <w:rFonts w:eastAsia="Times New Roman" w:cs="Arial"/>
                <w:color w:val="000000"/>
                <w:szCs w:val="20"/>
                <w:lang w:eastAsia="fr-BE"/>
              </w:rPr>
            </w:pPr>
          </w:p>
        </w:tc>
        <w:tc>
          <w:tcPr>
            <w:tcW w:w="659" w:type="dxa"/>
            <w:shd w:val="clear" w:color="auto" w:fill="auto"/>
            <w:noWrap/>
          </w:tcPr>
          <w:p w:rsidR="00D32D5F" w:rsidRPr="00C6442C" w:rsidRDefault="00D32D5F" w:rsidP="00C72B8E">
            <w:pPr>
              <w:spacing w:after="0" w:line="240" w:lineRule="auto"/>
              <w:rPr>
                <w:rFonts w:eastAsia="Times New Roman" w:cs="Arial"/>
                <w:color w:val="000000"/>
                <w:szCs w:val="20"/>
                <w:lang w:eastAsia="fr-BE"/>
              </w:rPr>
            </w:pPr>
          </w:p>
        </w:tc>
        <w:tc>
          <w:tcPr>
            <w:tcW w:w="546" w:type="dxa"/>
            <w:shd w:val="clear" w:color="auto" w:fill="auto"/>
            <w:noWrap/>
          </w:tcPr>
          <w:p w:rsidR="00D32D5F" w:rsidRPr="00C6442C" w:rsidRDefault="00D32D5F" w:rsidP="00C72B8E">
            <w:pPr>
              <w:spacing w:after="0" w:line="240" w:lineRule="auto"/>
              <w:rPr>
                <w:rFonts w:ascii="Arial" w:eastAsia="Times New Roman" w:hAnsi="Arial" w:cs="Arial"/>
                <w:color w:val="000000"/>
                <w:szCs w:val="20"/>
                <w:lang w:eastAsia="fr-BE"/>
              </w:rPr>
            </w:pPr>
          </w:p>
        </w:tc>
      </w:tr>
      <w:tr w:rsidR="00D32D5F" w:rsidRPr="00C6442C" w:rsidTr="008450EB">
        <w:trPr>
          <w:trHeight w:val="254"/>
        </w:trPr>
        <w:tc>
          <w:tcPr>
            <w:tcW w:w="251" w:type="dxa"/>
            <w:vMerge/>
            <w:shd w:val="clear" w:color="auto" w:fill="B4C6E7" w:themeFill="accent5" w:themeFillTint="66"/>
            <w:noWrap/>
            <w:vAlign w:val="bottom"/>
            <w:hideMark/>
          </w:tcPr>
          <w:p w:rsidR="00D32D5F" w:rsidRPr="00C6442C" w:rsidRDefault="00D32D5F" w:rsidP="00C72B8E">
            <w:pPr>
              <w:spacing w:after="0" w:line="240" w:lineRule="auto"/>
              <w:rPr>
                <w:rFonts w:ascii="Arial" w:eastAsia="Times New Roman" w:hAnsi="Arial" w:cs="Arial"/>
                <w:color w:val="000000"/>
                <w:szCs w:val="20"/>
                <w:lang w:eastAsia="fr-BE"/>
              </w:rPr>
            </w:pPr>
          </w:p>
        </w:tc>
        <w:tc>
          <w:tcPr>
            <w:tcW w:w="1585" w:type="dxa"/>
            <w:vMerge/>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p>
        </w:tc>
        <w:tc>
          <w:tcPr>
            <w:tcW w:w="439" w:type="dxa"/>
            <w:vMerge/>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p>
        </w:tc>
        <w:tc>
          <w:tcPr>
            <w:tcW w:w="2115" w:type="dxa"/>
            <w:vMerge/>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p>
        </w:tc>
        <w:tc>
          <w:tcPr>
            <w:tcW w:w="708" w:type="dxa"/>
            <w:vMerge/>
            <w:shd w:val="clear" w:color="auto" w:fill="C5E0B3" w:themeFill="accent6" w:themeFillTint="66"/>
            <w:noWrap/>
          </w:tcPr>
          <w:p w:rsidR="00D32D5F" w:rsidRPr="00B92F2A" w:rsidRDefault="00D32D5F" w:rsidP="00C72B8E">
            <w:pPr>
              <w:spacing w:after="0" w:line="240" w:lineRule="auto"/>
              <w:rPr>
                <w:rFonts w:eastAsia="Times New Roman" w:cs="Arial"/>
                <w:b/>
                <w:color w:val="000000"/>
                <w:szCs w:val="20"/>
                <w:lang w:eastAsia="fr-BE"/>
              </w:rPr>
            </w:pPr>
          </w:p>
        </w:tc>
        <w:tc>
          <w:tcPr>
            <w:tcW w:w="3119" w:type="dxa"/>
            <w:vMerge/>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p>
        </w:tc>
        <w:tc>
          <w:tcPr>
            <w:tcW w:w="4111" w:type="dxa"/>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r w:rsidRPr="00B92F2A">
              <w:rPr>
                <w:b/>
                <w:lang w:val="fr-FR"/>
              </w:rPr>
              <w:t>Une méthodologie pour élaborer un diagnostic sur cette problématique dans le quartier est élaborée.</w:t>
            </w:r>
          </w:p>
        </w:tc>
        <w:tc>
          <w:tcPr>
            <w:tcW w:w="584" w:type="dxa"/>
            <w:shd w:val="clear" w:color="auto" w:fill="auto"/>
            <w:noWrap/>
          </w:tcPr>
          <w:p w:rsidR="00D32D5F" w:rsidRPr="00C6442C" w:rsidRDefault="00D32D5F" w:rsidP="00C72B8E">
            <w:pPr>
              <w:spacing w:after="0" w:line="240" w:lineRule="auto"/>
              <w:rPr>
                <w:rFonts w:eastAsia="Times New Roman" w:cs="Arial"/>
                <w:color w:val="000000"/>
                <w:szCs w:val="20"/>
                <w:lang w:eastAsia="fr-BE"/>
              </w:rPr>
            </w:pPr>
          </w:p>
        </w:tc>
        <w:tc>
          <w:tcPr>
            <w:tcW w:w="584" w:type="dxa"/>
            <w:shd w:val="clear" w:color="auto" w:fill="auto"/>
            <w:noWrap/>
          </w:tcPr>
          <w:p w:rsidR="00D32D5F" w:rsidRPr="00C6442C" w:rsidRDefault="00D32D5F" w:rsidP="00C72B8E">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659" w:type="dxa"/>
            <w:shd w:val="clear" w:color="auto" w:fill="auto"/>
            <w:noWrap/>
          </w:tcPr>
          <w:p w:rsidR="00D32D5F" w:rsidRPr="00C6442C" w:rsidRDefault="00D32D5F" w:rsidP="00C72B8E">
            <w:pPr>
              <w:spacing w:after="0" w:line="240" w:lineRule="auto"/>
              <w:rPr>
                <w:rFonts w:eastAsia="Times New Roman" w:cs="Arial"/>
                <w:color w:val="000000"/>
                <w:szCs w:val="20"/>
                <w:lang w:eastAsia="fr-BE"/>
              </w:rPr>
            </w:pPr>
          </w:p>
        </w:tc>
        <w:tc>
          <w:tcPr>
            <w:tcW w:w="546" w:type="dxa"/>
            <w:shd w:val="clear" w:color="auto" w:fill="auto"/>
            <w:noWrap/>
          </w:tcPr>
          <w:p w:rsidR="00D32D5F" w:rsidRPr="00C6442C" w:rsidRDefault="00D32D5F" w:rsidP="00C72B8E">
            <w:pPr>
              <w:rPr>
                <w:lang w:eastAsia="fr-BE"/>
              </w:rPr>
            </w:pPr>
          </w:p>
        </w:tc>
      </w:tr>
      <w:tr w:rsidR="00D32D5F" w:rsidRPr="00C6442C" w:rsidTr="008450EB">
        <w:trPr>
          <w:trHeight w:val="564"/>
        </w:trPr>
        <w:tc>
          <w:tcPr>
            <w:tcW w:w="251" w:type="dxa"/>
            <w:vMerge/>
            <w:shd w:val="clear" w:color="auto" w:fill="B4C6E7" w:themeFill="accent5" w:themeFillTint="66"/>
            <w:noWrap/>
            <w:vAlign w:val="bottom"/>
            <w:hideMark/>
          </w:tcPr>
          <w:p w:rsidR="00D32D5F" w:rsidRPr="00C6442C" w:rsidRDefault="00D32D5F" w:rsidP="00C72B8E">
            <w:pPr>
              <w:spacing w:after="0" w:line="240" w:lineRule="auto"/>
              <w:rPr>
                <w:rFonts w:ascii="Arial" w:eastAsia="Times New Roman" w:hAnsi="Arial" w:cs="Arial"/>
                <w:color w:val="000000"/>
                <w:szCs w:val="20"/>
                <w:lang w:eastAsia="fr-BE"/>
              </w:rPr>
            </w:pPr>
          </w:p>
        </w:tc>
        <w:tc>
          <w:tcPr>
            <w:tcW w:w="1585" w:type="dxa"/>
            <w:vMerge/>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p>
        </w:tc>
        <w:tc>
          <w:tcPr>
            <w:tcW w:w="439" w:type="dxa"/>
            <w:vMerge/>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p>
        </w:tc>
        <w:tc>
          <w:tcPr>
            <w:tcW w:w="2115" w:type="dxa"/>
            <w:vMerge/>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p>
        </w:tc>
        <w:tc>
          <w:tcPr>
            <w:tcW w:w="708" w:type="dxa"/>
            <w:vMerge/>
            <w:shd w:val="clear" w:color="auto" w:fill="C5E0B3" w:themeFill="accent6" w:themeFillTint="66"/>
            <w:noWrap/>
          </w:tcPr>
          <w:p w:rsidR="00D32D5F" w:rsidRPr="00B92F2A" w:rsidRDefault="00D32D5F" w:rsidP="00C72B8E">
            <w:pPr>
              <w:spacing w:after="0" w:line="240" w:lineRule="auto"/>
              <w:rPr>
                <w:rFonts w:eastAsia="Times New Roman" w:cs="Arial"/>
                <w:b/>
                <w:color w:val="000000"/>
                <w:szCs w:val="20"/>
                <w:lang w:eastAsia="fr-BE"/>
              </w:rPr>
            </w:pPr>
          </w:p>
        </w:tc>
        <w:tc>
          <w:tcPr>
            <w:tcW w:w="3119" w:type="dxa"/>
            <w:vMerge/>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p>
        </w:tc>
        <w:tc>
          <w:tcPr>
            <w:tcW w:w="4111" w:type="dxa"/>
            <w:shd w:val="clear" w:color="auto" w:fill="auto"/>
            <w:noWrap/>
          </w:tcPr>
          <w:p w:rsidR="00D32D5F" w:rsidRPr="00B92F2A" w:rsidRDefault="00D32D5F" w:rsidP="00C72B8E">
            <w:pPr>
              <w:spacing w:after="0"/>
              <w:rPr>
                <w:b/>
              </w:rPr>
            </w:pPr>
            <w:r w:rsidRPr="00B92F2A">
              <w:rPr>
                <w:b/>
                <w:lang w:val="fr-FR"/>
              </w:rPr>
              <w:t>Des pistes d’actions sont élaborées qui tiennent compte des besoins des usagers des services.</w:t>
            </w:r>
          </w:p>
        </w:tc>
        <w:tc>
          <w:tcPr>
            <w:tcW w:w="584" w:type="dxa"/>
            <w:shd w:val="clear" w:color="auto" w:fill="auto"/>
            <w:noWrap/>
          </w:tcPr>
          <w:p w:rsidR="00D32D5F" w:rsidRPr="00C6442C" w:rsidRDefault="00D32D5F" w:rsidP="00C72B8E">
            <w:pPr>
              <w:spacing w:after="0" w:line="240" w:lineRule="auto"/>
              <w:rPr>
                <w:rFonts w:eastAsia="Times New Roman" w:cs="Arial"/>
                <w:color w:val="000000"/>
                <w:szCs w:val="20"/>
                <w:lang w:eastAsia="fr-BE"/>
              </w:rPr>
            </w:pPr>
          </w:p>
        </w:tc>
        <w:tc>
          <w:tcPr>
            <w:tcW w:w="584" w:type="dxa"/>
            <w:shd w:val="clear" w:color="auto" w:fill="auto"/>
            <w:noWrap/>
          </w:tcPr>
          <w:p w:rsidR="00D32D5F" w:rsidRPr="00C6442C" w:rsidRDefault="00F265C4" w:rsidP="00C72B8E">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659" w:type="dxa"/>
            <w:shd w:val="clear" w:color="auto" w:fill="auto"/>
            <w:noWrap/>
          </w:tcPr>
          <w:p w:rsidR="00D32D5F" w:rsidRPr="00C6442C" w:rsidRDefault="00D32D5F" w:rsidP="00C72B8E">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546" w:type="dxa"/>
            <w:shd w:val="clear" w:color="auto" w:fill="auto"/>
            <w:noWrap/>
          </w:tcPr>
          <w:p w:rsidR="00D32D5F" w:rsidRPr="00C6442C" w:rsidRDefault="00D32D5F" w:rsidP="00C72B8E">
            <w:pPr>
              <w:rPr>
                <w:lang w:eastAsia="fr-BE"/>
              </w:rPr>
            </w:pPr>
          </w:p>
        </w:tc>
      </w:tr>
      <w:tr w:rsidR="00D32D5F" w:rsidRPr="00C6442C" w:rsidTr="008450EB">
        <w:trPr>
          <w:trHeight w:val="1263"/>
        </w:trPr>
        <w:tc>
          <w:tcPr>
            <w:tcW w:w="251" w:type="dxa"/>
            <w:vMerge/>
            <w:shd w:val="clear" w:color="auto" w:fill="B4C6E7" w:themeFill="accent5" w:themeFillTint="66"/>
            <w:noWrap/>
            <w:vAlign w:val="bottom"/>
          </w:tcPr>
          <w:p w:rsidR="00D32D5F" w:rsidRPr="00C6442C" w:rsidRDefault="00D32D5F" w:rsidP="00C72B8E">
            <w:pPr>
              <w:spacing w:after="0" w:line="240" w:lineRule="auto"/>
              <w:rPr>
                <w:rFonts w:ascii="Arial" w:eastAsia="Times New Roman" w:hAnsi="Arial" w:cs="Arial"/>
                <w:color w:val="000000"/>
                <w:szCs w:val="20"/>
                <w:lang w:eastAsia="fr-BE"/>
              </w:rPr>
            </w:pPr>
          </w:p>
        </w:tc>
        <w:tc>
          <w:tcPr>
            <w:tcW w:w="1585" w:type="dxa"/>
            <w:vMerge/>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p>
        </w:tc>
        <w:tc>
          <w:tcPr>
            <w:tcW w:w="439" w:type="dxa"/>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p>
        </w:tc>
        <w:tc>
          <w:tcPr>
            <w:tcW w:w="2115" w:type="dxa"/>
            <w:shd w:val="clear" w:color="auto" w:fill="auto"/>
            <w:noWrap/>
          </w:tcPr>
          <w:p w:rsidR="00D32D5F" w:rsidRPr="00B92F2A" w:rsidRDefault="00D32D5F" w:rsidP="00C72B8E">
            <w:pPr>
              <w:spacing w:after="0" w:line="240" w:lineRule="auto"/>
              <w:rPr>
                <w:rFonts w:eastAsia="Times New Roman" w:cs="Arial"/>
                <w:b/>
                <w:color w:val="000000"/>
                <w:szCs w:val="20"/>
                <w:lang w:eastAsia="fr-BE"/>
              </w:rPr>
            </w:pPr>
          </w:p>
        </w:tc>
        <w:tc>
          <w:tcPr>
            <w:tcW w:w="708" w:type="dxa"/>
            <w:shd w:val="clear" w:color="auto" w:fill="C5E0B3" w:themeFill="accent6" w:themeFillTint="66"/>
            <w:noWrap/>
          </w:tcPr>
          <w:p w:rsidR="00D32D5F" w:rsidRPr="00B92F2A" w:rsidRDefault="003A4EA0" w:rsidP="00C72B8E">
            <w:pPr>
              <w:spacing w:after="0" w:line="240" w:lineRule="auto"/>
              <w:rPr>
                <w:rFonts w:eastAsia="Times New Roman" w:cs="Arial"/>
                <w:b/>
                <w:color w:val="000000"/>
                <w:szCs w:val="20"/>
                <w:lang w:eastAsia="fr-BE"/>
              </w:rPr>
            </w:pPr>
            <w:r w:rsidRPr="00B92F2A">
              <w:rPr>
                <w:rFonts w:eastAsia="Times New Roman" w:cs="Arial"/>
                <w:b/>
                <w:color w:val="000000"/>
                <w:szCs w:val="20"/>
                <w:lang w:eastAsia="fr-BE"/>
              </w:rPr>
              <w:t>4.0.2</w:t>
            </w:r>
          </w:p>
        </w:tc>
        <w:tc>
          <w:tcPr>
            <w:tcW w:w="3119" w:type="dxa"/>
            <w:shd w:val="clear" w:color="auto" w:fill="auto"/>
            <w:noWrap/>
          </w:tcPr>
          <w:p w:rsidR="00D32D5F" w:rsidRPr="00B92F2A" w:rsidRDefault="003A4EA0" w:rsidP="00C72B8E">
            <w:pPr>
              <w:spacing w:after="0" w:line="240" w:lineRule="auto"/>
              <w:rPr>
                <w:rFonts w:eastAsia="Times New Roman" w:cs="Arial"/>
                <w:b/>
                <w:color w:val="000000"/>
                <w:szCs w:val="20"/>
                <w:lang w:eastAsia="fr-BE"/>
              </w:rPr>
            </w:pPr>
            <w:r w:rsidRPr="00B92F2A">
              <w:rPr>
                <w:b/>
                <w:lang w:val="fr-FR"/>
              </w:rPr>
              <w:t>Un mécanisme de concertation est élaboré entre les services identifiés et le groupe de travail.</w:t>
            </w:r>
          </w:p>
        </w:tc>
        <w:tc>
          <w:tcPr>
            <w:tcW w:w="4111" w:type="dxa"/>
            <w:shd w:val="clear" w:color="auto" w:fill="auto"/>
            <w:noWrap/>
          </w:tcPr>
          <w:p w:rsidR="00D32D5F" w:rsidRPr="00B92F2A" w:rsidRDefault="00D32D5F" w:rsidP="00292A9A">
            <w:pPr>
              <w:spacing w:after="0"/>
              <w:rPr>
                <w:b/>
              </w:rPr>
            </w:pPr>
            <w:r w:rsidRPr="00B92F2A">
              <w:rPr>
                <w:b/>
                <w:lang w:val="fr-FR"/>
              </w:rPr>
              <w:t>Les constats du diagnostics sont discutés en bonne collaboration avec les services identifiés avec des orientations en termes de  pistes d’action.</w:t>
            </w:r>
          </w:p>
        </w:tc>
        <w:tc>
          <w:tcPr>
            <w:tcW w:w="584" w:type="dxa"/>
            <w:shd w:val="clear" w:color="auto" w:fill="auto"/>
            <w:noWrap/>
          </w:tcPr>
          <w:p w:rsidR="00D32D5F" w:rsidRPr="00C6442C" w:rsidRDefault="00D32D5F" w:rsidP="00C72B8E">
            <w:pPr>
              <w:spacing w:after="0" w:line="240" w:lineRule="auto"/>
              <w:rPr>
                <w:rFonts w:eastAsia="Times New Roman" w:cs="Arial"/>
                <w:color w:val="000000"/>
                <w:szCs w:val="20"/>
                <w:lang w:eastAsia="fr-BE"/>
              </w:rPr>
            </w:pPr>
          </w:p>
        </w:tc>
        <w:tc>
          <w:tcPr>
            <w:tcW w:w="584" w:type="dxa"/>
            <w:shd w:val="clear" w:color="auto" w:fill="auto"/>
            <w:noWrap/>
          </w:tcPr>
          <w:p w:rsidR="00D32D5F" w:rsidRPr="00C6442C" w:rsidRDefault="00D32D5F" w:rsidP="00C72B8E">
            <w:pPr>
              <w:spacing w:after="0" w:line="240" w:lineRule="auto"/>
              <w:rPr>
                <w:rFonts w:eastAsia="Times New Roman" w:cs="Arial"/>
                <w:color w:val="000000"/>
                <w:szCs w:val="20"/>
                <w:lang w:eastAsia="fr-BE"/>
              </w:rPr>
            </w:pPr>
          </w:p>
        </w:tc>
        <w:tc>
          <w:tcPr>
            <w:tcW w:w="659" w:type="dxa"/>
            <w:shd w:val="clear" w:color="auto" w:fill="auto"/>
            <w:noWrap/>
          </w:tcPr>
          <w:p w:rsidR="00D32D5F" w:rsidRPr="00C6442C" w:rsidRDefault="00D32D5F" w:rsidP="00C72B8E">
            <w:pPr>
              <w:spacing w:after="0" w:line="240" w:lineRule="auto"/>
              <w:rPr>
                <w:rFonts w:eastAsia="Times New Roman" w:cs="Arial"/>
                <w:color w:val="000000"/>
                <w:szCs w:val="20"/>
                <w:lang w:eastAsia="fr-BE"/>
              </w:rPr>
            </w:pPr>
            <w:r>
              <w:rPr>
                <w:rFonts w:eastAsia="Times New Roman" w:cs="Arial"/>
                <w:color w:val="000000"/>
                <w:szCs w:val="20"/>
                <w:lang w:eastAsia="fr-BE"/>
              </w:rPr>
              <w:t>x</w:t>
            </w:r>
          </w:p>
        </w:tc>
        <w:tc>
          <w:tcPr>
            <w:tcW w:w="546" w:type="dxa"/>
            <w:shd w:val="clear" w:color="auto" w:fill="auto"/>
            <w:noWrap/>
          </w:tcPr>
          <w:p w:rsidR="00D32D5F" w:rsidRPr="00C6442C" w:rsidRDefault="00F265C4" w:rsidP="00C72B8E">
            <w:pPr>
              <w:rPr>
                <w:lang w:eastAsia="fr-BE"/>
              </w:rPr>
            </w:pPr>
            <w:r>
              <w:rPr>
                <w:lang w:eastAsia="fr-BE"/>
              </w:rPr>
              <w:t>x</w:t>
            </w:r>
          </w:p>
        </w:tc>
      </w:tr>
    </w:tbl>
    <w:p w:rsidR="00722DDE" w:rsidRDefault="00722DDE" w:rsidP="00F265C4">
      <w:pPr>
        <w:spacing w:after="0" w:line="240" w:lineRule="auto"/>
        <w:rPr>
          <w:sz w:val="12"/>
        </w:rPr>
      </w:pPr>
    </w:p>
    <w:p w:rsidR="00722DDE" w:rsidRDefault="00722DDE" w:rsidP="00722DDE">
      <w:r>
        <w:br w:type="page"/>
      </w:r>
    </w:p>
    <w:p w:rsidR="00E960BF" w:rsidRDefault="00722DDE" w:rsidP="00722DDE">
      <w:pPr>
        <w:pStyle w:val="Titre1"/>
        <w:numPr>
          <w:ilvl w:val="0"/>
          <w:numId w:val="0"/>
        </w:numPr>
      </w:pPr>
      <w:r>
        <w:lastRenderedPageBreak/>
        <w:t>BUDGET PREVISIONNEL</w:t>
      </w:r>
      <w:r w:rsidR="00E21AB9">
        <w:t xml:space="preserve"> 2022</w:t>
      </w:r>
    </w:p>
    <w:tbl>
      <w:tblPr>
        <w:tblW w:w="15427" w:type="dxa"/>
        <w:tblInd w:w="-5" w:type="dxa"/>
        <w:tblCellMar>
          <w:left w:w="70" w:type="dxa"/>
          <w:right w:w="70" w:type="dxa"/>
        </w:tblCellMar>
        <w:tblLook w:val="04A0" w:firstRow="1" w:lastRow="0" w:firstColumn="1" w:lastColumn="0" w:noHBand="0" w:noVBand="1"/>
      </w:tblPr>
      <w:tblGrid>
        <w:gridCol w:w="2268"/>
        <w:gridCol w:w="1389"/>
        <w:gridCol w:w="6000"/>
        <w:gridCol w:w="1142"/>
        <w:gridCol w:w="3181"/>
        <w:gridCol w:w="1447"/>
      </w:tblGrid>
      <w:tr w:rsidR="001111FA" w:rsidRPr="001111FA" w:rsidTr="008F5C20">
        <w:trPr>
          <w:trHeight w:val="38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b/>
                <w:bCs/>
                <w:color w:val="44546A"/>
                <w:sz w:val="30"/>
                <w:szCs w:val="30"/>
                <w:lang w:eastAsia="fr-BE"/>
              </w:rPr>
            </w:pPr>
            <w:r w:rsidRPr="001111FA">
              <w:rPr>
                <w:rFonts w:ascii="Arial" w:eastAsia="Times New Roman" w:hAnsi="Arial" w:cs="Arial"/>
                <w:b/>
                <w:bCs/>
                <w:color w:val="44546A"/>
                <w:sz w:val="30"/>
                <w:szCs w:val="30"/>
                <w:lang w:eastAsia="fr-BE"/>
              </w:rPr>
              <w:t>Article</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b/>
                <w:bCs/>
                <w:color w:val="44546A"/>
                <w:sz w:val="30"/>
                <w:szCs w:val="30"/>
                <w:lang w:eastAsia="fr-BE"/>
              </w:rPr>
            </w:pPr>
            <w:r w:rsidRPr="001111FA">
              <w:rPr>
                <w:rFonts w:ascii="Arial" w:eastAsia="Times New Roman" w:hAnsi="Arial" w:cs="Arial"/>
                <w:b/>
                <w:bCs/>
                <w:color w:val="44546A"/>
                <w:sz w:val="30"/>
                <w:szCs w:val="30"/>
                <w:lang w:eastAsia="fr-BE"/>
              </w:rPr>
              <w:t>Montant</w:t>
            </w:r>
          </w:p>
        </w:tc>
        <w:tc>
          <w:tcPr>
            <w:tcW w:w="6000" w:type="dxa"/>
            <w:tcBorders>
              <w:top w:val="single" w:sz="4" w:space="0" w:color="auto"/>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b/>
                <w:bCs/>
                <w:color w:val="44546A"/>
                <w:sz w:val="30"/>
                <w:szCs w:val="30"/>
                <w:lang w:eastAsia="fr-BE"/>
              </w:rPr>
            </w:pPr>
            <w:r w:rsidRPr="001111FA">
              <w:rPr>
                <w:rFonts w:ascii="Arial" w:eastAsia="Times New Roman" w:hAnsi="Arial" w:cs="Arial"/>
                <w:b/>
                <w:bCs/>
                <w:color w:val="44546A"/>
                <w:sz w:val="30"/>
                <w:szCs w:val="30"/>
                <w:lang w:eastAsia="fr-BE"/>
              </w:rPr>
              <w:t>Commentaires</w:t>
            </w: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b/>
                <w:bCs/>
                <w:color w:val="44546A"/>
                <w:sz w:val="30"/>
                <w:szCs w:val="30"/>
                <w:lang w:eastAsia="fr-BE"/>
              </w:rPr>
            </w:pPr>
          </w:p>
        </w:tc>
        <w:tc>
          <w:tcPr>
            <w:tcW w:w="3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b/>
                <w:bCs/>
                <w:color w:val="44546A"/>
                <w:sz w:val="30"/>
                <w:szCs w:val="30"/>
                <w:lang w:eastAsia="fr-BE"/>
              </w:rPr>
            </w:pPr>
            <w:r w:rsidRPr="001111FA">
              <w:rPr>
                <w:rFonts w:ascii="Arial" w:eastAsia="Times New Roman" w:hAnsi="Arial" w:cs="Arial"/>
                <w:b/>
                <w:bCs/>
                <w:color w:val="44546A"/>
                <w:sz w:val="30"/>
                <w:szCs w:val="30"/>
                <w:lang w:eastAsia="fr-BE"/>
              </w:rPr>
              <w:t xml:space="preserve">Détail </w:t>
            </w:r>
            <w:r w:rsidR="00B0638C">
              <w:rPr>
                <w:rFonts w:ascii="Arial" w:eastAsia="Times New Roman" w:hAnsi="Arial" w:cs="Arial"/>
                <w:b/>
                <w:bCs/>
                <w:color w:val="44546A"/>
                <w:sz w:val="30"/>
                <w:szCs w:val="30"/>
                <w:lang w:eastAsia="fr-BE"/>
              </w:rPr>
              <w:t xml:space="preserve">Actions </w:t>
            </w:r>
            <w:r w:rsidRPr="001111FA">
              <w:rPr>
                <w:rFonts w:ascii="Arial" w:eastAsia="Times New Roman" w:hAnsi="Arial" w:cs="Arial"/>
                <w:b/>
                <w:bCs/>
                <w:color w:val="44546A"/>
                <w:sz w:val="30"/>
                <w:szCs w:val="30"/>
                <w:lang w:eastAsia="fr-BE"/>
              </w:rPr>
              <w:t>CPAS</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1111FA" w:rsidRPr="001D5B67" w:rsidRDefault="00B0638C" w:rsidP="001111FA">
            <w:pPr>
              <w:spacing w:after="0" w:line="240" w:lineRule="auto"/>
              <w:jc w:val="left"/>
              <w:rPr>
                <w:rFonts w:ascii="Arial" w:eastAsia="Times New Roman" w:hAnsi="Arial" w:cs="Arial"/>
                <w:b/>
                <w:color w:val="000000"/>
                <w:sz w:val="30"/>
                <w:szCs w:val="30"/>
                <w:lang w:eastAsia="fr-BE"/>
              </w:rPr>
            </w:pPr>
            <w:r w:rsidRPr="004B7E6D">
              <w:rPr>
                <w:rFonts w:ascii="Arial" w:eastAsia="Times New Roman" w:hAnsi="Arial" w:cs="Arial"/>
                <w:b/>
                <w:color w:val="1F4E79" w:themeColor="accent1" w:themeShade="80"/>
                <w:sz w:val="30"/>
                <w:szCs w:val="30"/>
                <w:lang w:eastAsia="fr-BE"/>
              </w:rPr>
              <w:t>Montant</w:t>
            </w:r>
            <w:r w:rsidR="001111FA" w:rsidRPr="004B7E6D">
              <w:rPr>
                <w:rFonts w:ascii="Arial" w:eastAsia="Times New Roman" w:hAnsi="Arial" w:cs="Arial"/>
                <w:b/>
                <w:color w:val="1F4E79" w:themeColor="accent1" w:themeShade="80"/>
                <w:sz w:val="30"/>
                <w:szCs w:val="30"/>
                <w:lang w:eastAsia="fr-BE"/>
              </w:rPr>
              <w:t> </w:t>
            </w:r>
          </w:p>
        </w:tc>
      </w:tr>
      <w:tr w:rsidR="001111FA" w:rsidRPr="001111FA" w:rsidTr="008F5C20">
        <w:trPr>
          <w:trHeight w:val="249"/>
        </w:trPr>
        <w:tc>
          <w:tcPr>
            <w:tcW w:w="2268" w:type="dxa"/>
            <w:tcBorders>
              <w:top w:val="nil"/>
              <w:left w:val="nil"/>
              <w:bottom w:val="nil"/>
              <w:right w:val="nil"/>
            </w:tcBorders>
            <w:shd w:val="clear" w:color="auto" w:fill="auto"/>
            <w:noWrap/>
            <w:vAlign w:val="bottom"/>
            <w:hideMark/>
          </w:tcPr>
          <w:p w:rsidR="001111FA" w:rsidRPr="008F5C20" w:rsidRDefault="008F5C20" w:rsidP="001111FA">
            <w:pPr>
              <w:spacing w:after="0" w:line="240" w:lineRule="auto"/>
              <w:jc w:val="left"/>
              <w:rPr>
                <w:rFonts w:ascii="Arial" w:eastAsia="Times New Roman" w:hAnsi="Arial" w:cs="Arial"/>
                <w:b/>
                <w:color w:val="000000"/>
                <w:szCs w:val="20"/>
                <w:lang w:eastAsia="fr-BE"/>
              </w:rPr>
            </w:pPr>
            <w:r w:rsidRPr="008F5C20">
              <w:rPr>
                <w:rFonts w:ascii="Arial" w:eastAsia="Times New Roman" w:hAnsi="Arial" w:cs="Arial"/>
                <w:b/>
                <w:color w:val="000000"/>
                <w:szCs w:val="20"/>
                <w:lang w:eastAsia="fr-BE"/>
              </w:rPr>
              <w:t>Quartier Anneessens</w:t>
            </w:r>
          </w:p>
        </w:tc>
        <w:tc>
          <w:tcPr>
            <w:tcW w:w="1389"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6000"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3181"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1447"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r>
      <w:tr w:rsidR="001111FA" w:rsidRPr="001111FA" w:rsidTr="008F5C20">
        <w:trPr>
          <w:trHeight w:val="24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RQ Anneessens</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1111FA" w:rsidRPr="001111FA" w:rsidRDefault="001111FA" w:rsidP="008F5C20">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 xml:space="preserve">   50.000,00 € </w:t>
            </w:r>
          </w:p>
        </w:tc>
        <w:tc>
          <w:tcPr>
            <w:tcW w:w="6000" w:type="dxa"/>
            <w:tcBorders>
              <w:top w:val="single" w:sz="4" w:space="0" w:color="auto"/>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Montant du référent quartier sur 12+3 mois</w:t>
            </w: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p>
        </w:tc>
        <w:tc>
          <w:tcPr>
            <w:tcW w:w="3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Total CPAS Anneessens</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1111FA" w:rsidRPr="001111FA" w:rsidRDefault="00B86584" w:rsidP="00B86584">
            <w:pPr>
              <w:spacing w:after="0" w:line="240" w:lineRule="auto"/>
              <w:rPr>
                <w:rFonts w:ascii="Arial" w:eastAsia="Times New Roman" w:hAnsi="Arial" w:cs="Arial"/>
                <w:color w:val="000000"/>
                <w:szCs w:val="20"/>
                <w:lang w:eastAsia="fr-BE"/>
              </w:rPr>
            </w:pPr>
            <w:r>
              <w:rPr>
                <w:rFonts w:ascii="Arial" w:eastAsia="Times New Roman" w:hAnsi="Arial" w:cs="Arial"/>
                <w:color w:val="000000"/>
                <w:szCs w:val="20"/>
                <w:lang w:eastAsia="fr-BE"/>
              </w:rPr>
              <w:t xml:space="preserve"> </w:t>
            </w:r>
            <w:r w:rsidR="001111FA" w:rsidRPr="001111FA">
              <w:rPr>
                <w:rFonts w:ascii="Arial" w:eastAsia="Times New Roman" w:hAnsi="Arial" w:cs="Arial"/>
                <w:color w:val="000000"/>
                <w:szCs w:val="20"/>
                <w:lang w:eastAsia="fr-BE"/>
              </w:rPr>
              <w:t>98.000,00 €</w:t>
            </w:r>
          </w:p>
        </w:tc>
      </w:tr>
      <w:tr w:rsidR="001111FA" w:rsidRPr="001111FA" w:rsidTr="008F5C20">
        <w:trPr>
          <w:trHeight w:val="24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CPAS</w:t>
            </w:r>
          </w:p>
        </w:tc>
        <w:tc>
          <w:tcPr>
            <w:tcW w:w="1389"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righ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98.000,00 €</w:t>
            </w:r>
          </w:p>
        </w:tc>
        <w:tc>
          <w:tcPr>
            <w:tcW w:w="6000"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Montant pour les projets (montant total moins le salaire du Référent)</w:t>
            </w: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p>
        </w:tc>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Logement</w:t>
            </w:r>
          </w:p>
        </w:tc>
        <w:tc>
          <w:tcPr>
            <w:tcW w:w="1447" w:type="dxa"/>
            <w:tcBorders>
              <w:top w:val="nil"/>
              <w:left w:val="nil"/>
              <w:bottom w:val="single" w:sz="4" w:space="0" w:color="auto"/>
              <w:right w:val="single" w:sz="4" w:space="0" w:color="auto"/>
            </w:tcBorders>
            <w:shd w:val="clear" w:color="auto" w:fill="auto"/>
            <w:noWrap/>
            <w:vAlign w:val="bottom"/>
            <w:hideMark/>
          </w:tcPr>
          <w:p w:rsidR="001111FA" w:rsidRPr="001111FA" w:rsidRDefault="00B86584" w:rsidP="00B86584">
            <w:pPr>
              <w:spacing w:after="0" w:line="240" w:lineRule="auto"/>
              <w:jc w:val="left"/>
              <w:rPr>
                <w:rFonts w:ascii="Arial" w:eastAsia="Times New Roman" w:hAnsi="Arial" w:cs="Arial"/>
                <w:color w:val="000000"/>
                <w:szCs w:val="20"/>
                <w:lang w:eastAsia="fr-BE"/>
              </w:rPr>
            </w:pPr>
            <w:r>
              <w:rPr>
                <w:rFonts w:ascii="Arial" w:eastAsia="Times New Roman" w:hAnsi="Arial" w:cs="Arial"/>
                <w:color w:val="000000"/>
                <w:szCs w:val="20"/>
                <w:lang w:eastAsia="fr-BE"/>
              </w:rPr>
              <w:t xml:space="preserve"> </w:t>
            </w:r>
            <w:r w:rsidR="001111FA" w:rsidRPr="001111FA">
              <w:rPr>
                <w:rFonts w:ascii="Arial" w:eastAsia="Times New Roman" w:hAnsi="Arial" w:cs="Arial"/>
                <w:color w:val="000000"/>
                <w:szCs w:val="20"/>
                <w:lang w:eastAsia="fr-BE"/>
              </w:rPr>
              <w:t xml:space="preserve">25.000,00 € </w:t>
            </w:r>
          </w:p>
        </w:tc>
      </w:tr>
      <w:tr w:rsidR="001111FA" w:rsidRPr="001111FA" w:rsidTr="008F5C20">
        <w:trPr>
          <w:trHeight w:val="24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Appel à projet (total)</w:t>
            </w:r>
          </w:p>
        </w:tc>
        <w:tc>
          <w:tcPr>
            <w:tcW w:w="1389"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righ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196.000,00 €</w:t>
            </w:r>
          </w:p>
        </w:tc>
        <w:tc>
          <w:tcPr>
            <w:tcW w:w="6000"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Montant restant pour l'appel à projets</w:t>
            </w: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p>
        </w:tc>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Emploi jeunes</w:t>
            </w:r>
          </w:p>
        </w:tc>
        <w:tc>
          <w:tcPr>
            <w:tcW w:w="1447"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B86584">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 xml:space="preserve"> 58.000,00 € </w:t>
            </w:r>
          </w:p>
        </w:tc>
      </w:tr>
      <w:tr w:rsidR="001111FA" w:rsidRPr="001111FA" w:rsidTr="008F5C20">
        <w:trPr>
          <w:trHeight w:val="24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Logement</w:t>
            </w:r>
          </w:p>
        </w:tc>
        <w:tc>
          <w:tcPr>
            <w:tcW w:w="1389"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righ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98.000,00 €</w:t>
            </w:r>
          </w:p>
        </w:tc>
        <w:tc>
          <w:tcPr>
            <w:tcW w:w="6000"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Division du budget par 2</w:t>
            </w: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p>
        </w:tc>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Mena</w:t>
            </w:r>
          </w:p>
        </w:tc>
        <w:tc>
          <w:tcPr>
            <w:tcW w:w="1447"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B86584">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 xml:space="preserve"> 15.000,00 € </w:t>
            </w:r>
          </w:p>
        </w:tc>
      </w:tr>
      <w:tr w:rsidR="001111FA" w:rsidRPr="001111FA" w:rsidTr="008F5C20">
        <w:trPr>
          <w:trHeight w:val="24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Non recours</w:t>
            </w:r>
          </w:p>
        </w:tc>
        <w:tc>
          <w:tcPr>
            <w:tcW w:w="1389"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righ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98.000,00 €</w:t>
            </w:r>
          </w:p>
        </w:tc>
        <w:tc>
          <w:tcPr>
            <w:tcW w:w="6000"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Idem</w:t>
            </w: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p>
        </w:tc>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B86584" w:rsidP="001111FA">
            <w:pPr>
              <w:spacing w:after="0" w:line="240" w:lineRule="auto"/>
              <w:jc w:val="left"/>
              <w:rPr>
                <w:rFonts w:ascii="Arial" w:eastAsia="Times New Roman" w:hAnsi="Arial" w:cs="Arial"/>
                <w:color w:val="000000"/>
                <w:szCs w:val="20"/>
                <w:lang w:eastAsia="fr-BE"/>
              </w:rPr>
            </w:pPr>
            <w:r>
              <w:rPr>
                <w:rFonts w:ascii="Arial" w:eastAsia="Times New Roman" w:hAnsi="Arial" w:cs="Arial"/>
                <w:color w:val="000000"/>
                <w:szCs w:val="20"/>
                <w:lang w:eastAsia="fr-BE"/>
              </w:rPr>
              <w:t>Méthode</w:t>
            </w:r>
            <w:r w:rsidR="001111FA" w:rsidRPr="001111FA">
              <w:rPr>
                <w:rFonts w:ascii="Arial" w:eastAsia="Times New Roman" w:hAnsi="Arial" w:cs="Arial"/>
                <w:color w:val="000000"/>
                <w:szCs w:val="20"/>
                <w:lang w:eastAsia="fr-BE"/>
              </w:rPr>
              <w:t xml:space="preserve"> communautaire</w:t>
            </w:r>
          </w:p>
        </w:tc>
        <w:tc>
          <w:tcPr>
            <w:tcW w:w="1447"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 </w:t>
            </w:r>
          </w:p>
        </w:tc>
      </w:tr>
      <w:tr w:rsidR="001111FA" w:rsidRPr="001111FA" w:rsidTr="008F5C20">
        <w:trPr>
          <w:trHeight w:val="249"/>
        </w:trPr>
        <w:tc>
          <w:tcPr>
            <w:tcW w:w="2268"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p>
        </w:tc>
        <w:tc>
          <w:tcPr>
            <w:tcW w:w="1389"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6000"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3181"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1447"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r>
      <w:tr w:rsidR="001111FA" w:rsidRPr="001111FA" w:rsidTr="008F5C20">
        <w:trPr>
          <w:trHeight w:val="286"/>
        </w:trPr>
        <w:tc>
          <w:tcPr>
            <w:tcW w:w="2268"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1389"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6000"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3181"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1447"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r>
      <w:tr w:rsidR="001111FA" w:rsidRPr="008F5C20" w:rsidTr="008F5C20">
        <w:trPr>
          <w:trHeight w:val="249"/>
        </w:trPr>
        <w:tc>
          <w:tcPr>
            <w:tcW w:w="2268" w:type="dxa"/>
            <w:tcBorders>
              <w:top w:val="nil"/>
              <w:left w:val="nil"/>
              <w:bottom w:val="nil"/>
              <w:right w:val="nil"/>
            </w:tcBorders>
            <w:shd w:val="clear" w:color="auto" w:fill="auto"/>
            <w:noWrap/>
            <w:vAlign w:val="bottom"/>
            <w:hideMark/>
          </w:tcPr>
          <w:p w:rsidR="001111FA" w:rsidRPr="008F5C20" w:rsidRDefault="008F5C20" w:rsidP="001111FA">
            <w:pPr>
              <w:spacing w:after="0" w:line="240" w:lineRule="auto"/>
              <w:jc w:val="left"/>
              <w:rPr>
                <w:rFonts w:ascii="Arial" w:eastAsia="Times New Roman" w:hAnsi="Arial" w:cs="Arial"/>
                <w:b/>
                <w:szCs w:val="20"/>
                <w:lang w:eastAsia="fr-BE"/>
              </w:rPr>
            </w:pPr>
            <w:r w:rsidRPr="008F5C20">
              <w:rPr>
                <w:rFonts w:ascii="Arial" w:eastAsia="Times New Roman" w:hAnsi="Arial" w:cs="Arial"/>
                <w:b/>
                <w:szCs w:val="20"/>
                <w:lang w:eastAsia="fr-BE"/>
              </w:rPr>
              <w:t>Quartier Marolles</w:t>
            </w:r>
          </w:p>
        </w:tc>
        <w:tc>
          <w:tcPr>
            <w:tcW w:w="1389" w:type="dxa"/>
            <w:tcBorders>
              <w:top w:val="nil"/>
              <w:left w:val="nil"/>
              <w:bottom w:val="nil"/>
              <w:right w:val="nil"/>
            </w:tcBorders>
            <w:shd w:val="clear" w:color="auto" w:fill="auto"/>
            <w:noWrap/>
            <w:vAlign w:val="bottom"/>
            <w:hideMark/>
          </w:tcPr>
          <w:p w:rsidR="001111FA" w:rsidRPr="008F5C20" w:rsidRDefault="001111FA" w:rsidP="001111FA">
            <w:pPr>
              <w:spacing w:after="0" w:line="240" w:lineRule="auto"/>
              <w:jc w:val="left"/>
              <w:rPr>
                <w:rFonts w:ascii="Arial" w:eastAsia="Times New Roman" w:hAnsi="Arial" w:cs="Arial"/>
                <w:b/>
                <w:szCs w:val="20"/>
                <w:lang w:eastAsia="fr-BE"/>
              </w:rPr>
            </w:pPr>
          </w:p>
        </w:tc>
        <w:tc>
          <w:tcPr>
            <w:tcW w:w="6000" w:type="dxa"/>
            <w:tcBorders>
              <w:top w:val="nil"/>
              <w:left w:val="nil"/>
              <w:bottom w:val="nil"/>
              <w:right w:val="nil"/>
            </w:tcBorders>
            <w:shd w:val="clear" w:color="auto" w:fill="auto"/>
            <w:noWrap/>
            <w:vAlign w:val="bottom"/>
            <w:hideMark/>
          </w:tcPr>
          <w:p w:rsidR="001111FA" w:rsidRPr="008F5C20" w:rsidRDefault="001111FA" w:rsidP="001111FA">
            <w:pPr>
              <w:spacing w:after="0" w:line="240" w:lineRule="auto"/>
              <w:jc w:val="left"/>
              <w:rPr>
                <w:rFonts w:ascii="Arial" w:eastAsia="Times New Roman" w:hAnsi="Arial" w:cs="Arial"/>
                <w:b/>
                <w:szCs w:val="20"/>
                <w:lang w:eastAsia="fr-BE"/>
              </w:rPr>
            </w:pPr>
          </w:p>
        </w:tc>
        <w:tc>
          <w:tcPr>
            <w:tcW w:w="1142" w:type="dxa"/>
            <w:tcBorders>
              <w:top w:val="nil"/>
              <w:left w:val="nil"/>
              <w:bottom w:val="nil"/>
              <w:right w:val="nil"/>
            </w:tcBorders>
            <w:shd w:val="clear" w:color="auto" w:fill="auto"/>
            <w:noWrap/>
            <w:vAlign w:val="bottom"/>
            <w:hideMark/>
          </w:tcPr>
          <w:p w:rsidR="001111FA" w:rsidRPr="008F5C20" w:rsidRDefault="001111FA" w:rsidP="001111FA">
            <w:pPr>
              <w:spacing w:after="0" w:line="240" w:lineRule="auto"/>
              <w:jc w:val="left"/>
              <w:rPr>
                <w:rFonts w:ascii="Arial" w:eastAsia="Times New Roman" w:hAnsi="Arial" w:cs="Arial"/>
                <w:b/>
                <w:szCs w:val="20"/>
                <w:lang w:eastAsia="fr-BE"/>
              </w:rPr>
            </w:pPr>
          </w:p>
        </w:tc>
        <w:tc>
          <w:tcPr>
            <w:tcW w:w="3181" w:type="dxa"/>
            <w:tcBorders>
              <w:top w:val="nil"/>
              <w:left w:val="nil"/>
              <w:bottom w:val="nil"/>
              <w:right w:val="nil"/>
            </w:tcBorders>
            <w:shd w:val="clear" w:color="auto" w:fill="auto"/>
            <w:noWrap/>
            <w:vAlign w:val="bottom"/>
            <w:hideMark/>
          </w:tcPr>
          <w:p w:rsidR="001111FA" w:rsidRPr="008F5C20" w:rsidRDefault="001111FA" w:rsidP="001111FA">
            <w:pPr>
              <w:spacing w:after="0" w:line="240" w:lineRule="auto"/>
              <w:jc w:val="left"/>
              <w:rPr>
                <w:rFonts w:ascii="Arial" w:eastAsia="Times New Roman" w:hAnsi="Arial" w:cs="Arial"/>
                <w:b/>
                <w:szCs w:val="20"/>
                <w:lang w:eastAsia="fr-BE"/>
              </w:rPr>
            </w:pPr>
          </w:p>
        </w:tc>
        <w:tc>
          <w:tcPr>
            <w:tcW w:w="1447" w:type="dxa"/>
            <w:tcBorders>
              <w:top w:val="nil"/>
              <w:left w:val="nil"/>
              <w:bottom w:val="nil"/>
              <w:right w:val="nil"/>
            </w:tcBorders>
            <w:shd w:val="clear" w:color="auto" w:fill="auto"/>
            <w:noWrap/>
            <w:vAlign w:val="bottom"/>
            <w:hideMark/>
          </w:tcPr>
          <w:p w:rsidR="001111FA" w:rsidRPr="008F5C20" w:rsidRDefault="001111FA" w:rsidP="001111FA">
            <w:pPr>
              <w:spacing w:after="0" w:line="240" w:lineRule="auto"/>
              <w:jc w:val="left"/>
              <w:rPr>
                <w:rFonts w:ascii="Arial" w:eastAsia="Times New Roman" w:hAnsi="Arial" w:cs="Arial"/>
                <w:b/>
                <w:szCs w:val="20"/>
                <w:lang w:eastAsia="fr-BE"/>
              </w:rPr>
            </w:pPr>
          </w:p>
        </w:tc>
      </w:tr>
      <w:tr w:rsidR="001111FA" w:rsidRPr="001111FA" w:rsidTr="008F5C20">
        <w:trPr>
          <w:trHeight w:val="24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RQ Marolles</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1111FA" w:rsidRPr="001111FA" w:rsidRDefault="001111FA" w:rsidP="008F5C20">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 xml:space="preserve">   80.000,00 € </w:t>
            </w:r>
          </w:p>
        </w:tc>
        <w:tc>
          <w:tcPr>
            <w:tcW w:w="6000" w:type="dxa"/>
            <w:tcBorders>
              <w:top w:val="single" w:sz="4" w:space="0" w:color="auto"/>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Montant du référent quartier sur 12+3 mois</w:t>
            </w: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p>
        </w:tc>
        <w:tc>
          <w:tcPr>
            <w:tcW w:w="3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Total CPAS Marolles</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1111FA" w:rsidRPr="001111FA" w:rsidRDefault="001111FA" w:rsidP="00B86584">
            <w:pPr>
              <w:spacing w:after="0" w:line="240" w:lineRule="auto"/>
              <w:jc w:val="center"/>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89.760,00 €</w:t>
            </w:r>
          </w:p>
        </w:tc>
      </w:tr>
      <w:tr w:rsidR="001111FA" w:rsidRPr="001111FA" w:rsidTr="008F5C20">
        <w:trPr>
          <w:trHeight w:val="24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CPAS</w:t>
            </w:r>
          </w:p>
        </w:tc>
        <w:tc>
          <w:tcPr>
            <w:tcW w:w="1389"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righ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89.760,00 €</w:t>
            </w:r>
          </w:p>
        </w:tc>
        <w:tc>
          <w:tcPr>
            <w:tcW w:w="6000"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Montant pour les projets (montant total moins le salaire du Référent)</w:t>
            </w: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p>
        </w:tc>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Logement</w:t>
            </w:r>
          </w:p>
        </w:tc>
        <w:tc>
          <w:tcPr>
            <w:tcW w:w="1447"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B86584">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 xml:space="preserve">  25.000,00 € </w:t>
            </w:r>
          </w:p>
        </w:tc>
      </w:tr>
      <w:tr w:rsidR="001111FA" w:rsidRPr="001111FA" w:rsidTr="008F5C20">
        <w:trPr>
          <w:trHeight w:val="24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Appel à projet (total)</w:t>
            </w:r>
          </w:p>
        </w:tc>
        <w:tc>
          <w:tcPr>
            <w:tcW w:w="1389"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righ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174.240,00 €</w:t>
            </w:r>
          </w:p>
        </w:tc>
        <w:tc>
          <w:tcPr>
            <w:tcW w:w="6000"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Montant restant pour l'appel à projets</w:t>
            </w: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p>
        </w:tc>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Emploi jeunes</w:t>
            </w:r>
          </w:p>
        </w:tc>
        <w:tc>
          <w:tcPr>
            <w:tcW w:w="1447" w:type="dxa"/>
            <w:tcBorders>
              <w:top w:val="nil"/>
              <w:left w:val="nil"/>
              <w:bottom w:val="single" w:sz="4" w:space="0" w:color="auto"/>
              <w:right w:val="single" w:sz="4" w:space="0" w:color="auto"/>
            </w:tcBorders>
            <w:shd w:val="clear" w:color="auto" w:fill="auto"/>
            <w:noWrap/>
            <w:vAlign w:val="bottom"/>
            <w:hideMark/>
          </w:tcPr>
          <w:p w:rsidR="001111FA" w:rsidRPr="001111FA" w:rsidRDefault="00B86584" w:rsidP="001111FA">
            <w:pPr>
              <w:spacing w:after="0" w:line="240" w:lineRule="auto"/>
              <w:jc w:val="left"/>
              <w:rPr>
                <w:rFonts w:ascii="Arial" w:eastAsia="Times New Roman" w:hAnsi="Arial" w:cs="Arial"/>
                <w:color w:val="000000"/>
                <w:szCs w:val="20"/>
                <w:lang w:eastAsia="fr-BE"/>
              </w:rPr>
            </w:pPr>
            <w:r>
              <w:rPr>
                <w:rFonts w:ascii="Arial" w:eastAsia="Times New Roman" w:hAnsi="Arial" w:cs="Arial"/>
                <w:color w:val="000000"/>
                <w:szCs w:val="20"/>
                <w:lang w:eastAsia="fr-BE"/>
              </w:rPr>
              <w:t xml:space="preserve"> </w:t>
            </w:r>
            <w:r w:rsidR="001111FA" w:rsidRPr="001111FA">
              <w:rPr>
                <w:rFonts w:ascii="Arial" w:eastAsia="Times New Roman" w:hAnsi="Arial" w:cs="Arial"/>
                <w:color w:val="000000"/>
                <w:szCs w:val="20"/>
                <w:lang w:eastAsia="fr-BE"/>
              </w:rPr>
              <w:t xml:space="preserve"> 60.000,00 € </w:t>
            </w:r>
          </w:p>
        </w:tc>
      </w:tr>
      <w:tr w:rsidR="001111FA" w:rsidRPr="001111FA" w:rsidTr="008F5C20">
        <w:trPr>
          <w:trHeight w:val="24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Logement</w:t>
            </w:r>
          </w:p>
        </w:tc>
        <w:tc>
          <w:tcPr>
            <w:tcW w:w="1389"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righ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87.120,00 €</w:t>
            </w:r>
          </w:p>
        </w:tc>
        <w:tc>
          <w:tcPr>
            <w:tcW w:w="6000"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Division du budget par 2</w:t>
            </w: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p>
        </w:tc>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Mena</w:t>
            </w:r>
          </w:p>
        </w:tc>
        <w:tc>
          <w:tcPr>
            <w:tcW w:w="1447"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B86584">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 xml:space="preserve">  </w:t>
            </w:r>
            <w:r w:rsidR="00B86584">
              <w:rPr>
                <w:rFonts w:ascii="Arial" w:eastAsia="Times New Roman" w:hAnsi="Arial" w:cs="Arial"/>
                <w:color w:val="000000"/>
                <w:szCs w:val="20"/>
                <w:lang w:eastAsia="fr-BE"/>
              </w:rPr>
              <w:t xml:space="preserve"> </w:t>
            </w:r>
            <w:r w:rsidRPr="001111FA">
              <w:rPr>
                <w:rFonts w:ascii="Arial" w:eastAsia="Times New Roman" w:hAnsi="Arial" w:cs="Arial"/>
                <w:color w:val="000000"/>
                <w:szCs w:val="20"/>
                <w:lang w:eastAsia="fr-BE"/>
              </w:rPr>
              <w:t xml:space="preserve">            -   € </w:t>
            </w:r>
          </w:p>
        </w:tc>
      </w:tr>
      <w:tr w:rsidR="001111FA" w:rsidRPr="001111FA" w:rsidTr="008F5C20">
        <w:trPr>
          <w:trHeight w:val="24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Non recours</w:t>
            </w:r>
          </w:p>
        </w:tc>
        <w:tc>
          <w:tcPr>
            <w:tcW w:w="1389"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righ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87.120,00 €</w:t>
            </w:r>
          </w:p>
        </w:tc>
        <w:tc>
          <w:tcPr>
            <w:tcW w:w="6000"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Idem</w:t>
            </w: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p>
        </w:tc>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1111FA" w:rsidRPr="001111FA" w:rsidRDefault="00B86584" w:rsidP="001111FA">
            <w:pPr>
              <w:spacing w:after="0" w:line="240" w:lineRule="auto"/>
              <w:jc w:val="left"/>
              <w:rPr>
                <w:rFonts w:ascii="Arial" w:eastAsia="Times New Roman" w:hAnsi="Arial" w:cs="Arial"/>
                <w:color w:val="000000"/>
                <w:szCs w:val="20"/>
                <w:lang w:eastAsia="fr-BE"/>
              </w:rPr>
            </w:pPr>
            <w:r>
              <w:rPr>
                <w:rFonts w:ascii="Arial" w:eastAsia="Times New Roman" w:hAnsi="Arial" w:cs="Arial"/>
                <w:color w:val="000000"/>
                <w:szCs w:val="20"/>
                <w:lang w:eastAsia="fr-BE"/>
              </w:rPr>
              <w:t>Méthode</w:t>
            </w:r>
            <w:r w:rsidR="001111FA" w:rsidRPr="001111FA">
              <w:rPr>
                <w:rFonts w:ascii="Arial" w:eastAsia="Times New Roman" w:hAnsi="Arial" w:cs="Arial"/>
                <w:color w:val="000000"/>
                <w:szCs w:val="20"/>
                <w:lang w:eastAsia="fr-BE"/>
              </w:rPr>
              <w:t xml:space="preserve"> communautaire</w:t>
            </w:r>
          </w:p>
        </w:tc>
        <w:tc>
          <w:tcPr>
            <w:tcW w:w="1447" w:type="dxa"/>
            <w:tcBorders>
              <w:top w:val="nil"/>
              <w:left w:val="nil"/>
              <w:bottom w:val="single" w:sz="4" w:space="0" w:color="auto"/>
              <w:right w:val="single" w:sz="4" w:space="0" w:color="auto"/>
            </w:tcBorders>
            <w:shd w:val="clear" w:color="auto" w:fill="auto"/>
            <w:noWrap/>
            <w:vAlign w:val="bottom"/>
            <w:hideMark/>
          </w:tcPr>
          <w:p w:rsidR="001111FA" w:rsidRPr="001111FA" w:rsidRDefault="001111FA" w:rsidP="00B86584">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 xml:space="preserve">   4.760,00 </w:t>
            </w:r>
            <w:r w:rsidR="00EE61B0">
              <w:rPr>
                <w:rFonts w:ascii="Arial" w:eastAsia="Times New Roman" w:hAnsi="Arial" w:cs="Arial"/>
                <w:color w:val="000000"/>
                <w:szCs w:val="20"/>
                <w:lang w:eastAsia="fr-BE"/>
              </w:rPr>
              <w:t xml:space="preserve"> </w:t>
            </w:r>
            <w:r w:rsidRPr="001111FA">
              <w:rPr>
                <w:rFonts w:ascii="Arial" w:eastAsia="Times New Roman" w:hAnsi="Arial" w:cs="Arial"/>
                <w:color w:val="000000"/>
                <w:szCs w:val="20"/>
                <w:lang w:eastAsia="fr-BE"/>
              </w:rPr>
              <w:t xml:space="preserve">€ </w:t>
            </w:r>
          </w:p>
        </w:tc>
      </w:tr>
      <w:tr w:rsidR="001111FA" w:rsidRPr="001111FA" w:rsidTr="008F5C20">
        <w:trPr>
          <w:trHeight w:val="249"/>
        </w:trPr>
        <w:tc>
          <w:tcPr>
            <w:tcW w:w="2268"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p>
        </w:tc>
        <w:tc>
          <w:tcPr>
            <w:tcW w:w="1389"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6000"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3181"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1447"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r>
      <w:tr w:rsidR="001111FA" w:rsidRPr="001111FA" w:rsidTr="008F5C20">
        <w:trPr>
          <w:trHeight w:val="249"/>
        </w:trPr>
        <w:tc>
          <w:tcPr>
            <w:tcW w:w="2268"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1389"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6000"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3181"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1447"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r>
      <w:tr w:rsidR="001111FA" w:rsidRPr="001111FA" w:rsidTr="008F5C20">
        <w:trPr>
          <w:trHeight w:val="24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lef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Budget par quartier</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1111FA" w:rsidRPr="001111FA" w:rsidRDefault="001111FA" w:rsidP="001111FA">
            <w:pPr>
              <w:spacing w:after="0" w:line="240" w:lineRule="auto"/>
              <w:jc w:val="right"/>
              <w:rPr>
                <w:rFonts w:ascii="Arial" w:eastAsia="Times New Roman" w:hAnsi="Arial" w:cs="Arial"/>
                <w:color w:val="000000"/>
                <w:szCs w:val="20"/>
                <w:lang w:eastAsia="fr-BE"/>
              </w:rPr>
            </w:pPr>
            <w:r w:rsidRPr="001111FA">
              <w:rPr>
                <w:rFonts w:ascii="Arial" w:eastAsia="Times New Roman" w:hAnsi="Arial" w:cs="Arial"/>
                <w:color w:val="000000"/>
                <w:szCs w:val="20"/>
                <w:lang w:eastAsia="fr-BE"/>
              </w:rPr>
              <w:t>344.000,00 €</w:t>
            </w:r>
          </w:p>
        </w:tc>
        <w:tc>
          <w:tcPr>
            <w:tcW w:w="6000"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right"/>
              <w:rPr>
                <w:rFonts w:ascii="Arial" w:eastAsia="Times New Roman" w:hAnsi="Arial" w:cs="Arial"/>
                <w:color w:val="000000"/>
                <w:szCs w:val="20"/>
                <w:lang w:eastAsia="fr-BE"/>
              </w:rPr>
            </w:pPr>
          </w:p>
        </w:tc>
        <w:tc>
          <w:tcPr>
            <w:tcW w:w="1142"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3181"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c>
          <w:tcPr>
            <w:tcW w:w="1447" w:type="dxa"/>
            <w:tcBorders>
              <w:top w:val="nil"/>
              <w:left w:val="nil"/>
              <w:bottom w:val="nil"/>
              <w:right w:val="nil"/>
            </w:tcBorders>
            <w:shd w:val="clear" w:color="auto" w:fill="auto"/>
            <w:noWrap/>
            <w:vAlign w:val="bottom"/>
            <w:hideMark/>
          </w:tcPr>
          <w:p w:rsidR="001111FA" w:rsidRPr="001111FA" w:rsidRDefault="001111FA" w:rsidP="001111FA">
            <w:pPr>
              <w:spacing w:after="0" w:line="240" w:lineRule="auto"/>
              <w:jc w:val="left"/>
              <w:rPr>
                <w:rFonts w:ascii="Times New Roman" w:eastAsia="Times New Roman" w:hAnsi="Times New Roman" w:cs="Times New Roman"/>
                <w:szCs w:val="20"/>
                <w:lang w:eastAsia="fr-BE"/>
              </w:rPr>
            </w:pPr>
          </w:p>
        </w:tc>
      </w:tr>
    </w:tbl>
    <w:p w:rsidR="00722DDE" w:rsidRPr="00722DDE" w:rsidRDefault="00722DDE" w:rsidP="00722DDE">
      <w:pPr>
        <w:rPr>
          <w:lang w:val="fr-FR"/>
        </w:rPr>
      </w:pPr>
    </w:p>
    <w:sectPr w:rsidR="00722DDE" w:rsidRPr="00722DDE" w:rsidSect="00591E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FA" w:rsidRDefault="001111FA" w:rsidP="008933CB">
      <w:pPr>
        <w:spacing w:after="0" w:line="240" w:lineRule="auto"/>
      </w:pPr>
      <w:r>
        <w:separator/>
      </w:r>
    </w:p>
  </w:endnote>
  <w:endnote w:type="continuationSeparator" w:id="0">
    <w:p w:rsidR="001111FA" w:rsidRDefault="001111FA" w:rsidP="0089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27141"/>
      <w:docPartObj>
        <w:docPartGallery w:val="Page Numbers (Bottom of Page)"/>
        <w:docPartUnique/>
      </w:docPartObj>
    </w:sdtPr>
    <w:sdtEndPr/>
    <w:sdtContent>
      <w:p w:rsidR="001111FA" w:rsidRDefault="001111FA">
        <w:pPr>
          <w:pStyle w:val="Pieddepage"/>
          <w:jc w:val="right"/>
        </w:pPr>
        <w:r>
          <w:fldChar w:fldCharType="begin"/>
        </w:r>
        <w:r>
          <w:instrText>PAGE   \* MERGEFORMAT</w:instrText>
        </w:r>
        <w:r>
          <w:fldChar w:fldCharType="separate"/>
        </w:r>
        <w:r w:rsidR="00AD0A97" w:rsidRPr="00AD0A97">
          <w:rPr>
            <w:noProof/>
            <w:lang w:val="fr-FR"/>
          </w:rPr>
          <w:t>9</w:t>
        </w:r>
        <w:r>
          <w:fldChar w:fldCharType="end"/>
        </w:r>
      </w:p>
    </w:sdtContent>
  </w:sdt>
  <w:p w:rsidR="001111FA" w:rsidRDefault="001111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FA" w:rsidRDefault="001111FA" w:rsidP="008933CB">
      <w:pPr>
        <w:spacing w:after="0" w:line="240" w:lineRule="auto"/>
      </w:pPr>
      <w:r>
        <w:separator/>
      </w:r>
    </w:p>
  </w:footnote>
  <w:footnote w:type="continuationSeparator" w:id="0">
    <w:p w:rsidR="001111FA" w:rsidRDefault="001111FA" w:rsidP="00893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FA" w:rsidRDefault="001111FA">
    <w:pPr>
      <w:pStyle w:val="En-tte"/>
    </w:pPr>
    <w:r>
      <w:rPr>
        <w:noProof/>
        <w:lang w:eastAsia="fr-BE"/>
      </w:rPr>
      <w:drawing>
        <wp:anchor distT="0" distB="0" distL="114300" distR="114300" simplePos="0" relativeHeight="251661312" behindDoc="1" locked="0" layoutInCell="1" allowOverlap="1" wp14:anchorId="3102D68F" wp14:editId="54EDFB26">
          <wp:simplePos x="0" y="0"/>
          <wp:positionH relativeFrom="column">
            <wp:posOffset>5271845</wp:posOffset>
          </wp:positionH>
          <wp:positionV relativeFrom="paragraph">
            <wp:posOffset>161290</wp:posOffset>
          </wp:positionV>
          <wp:extent cx="1284605" cy="650240"/>
          <wp:effectExtent l="0" t="0" r="0" b="0"/>
          <wp:wrapTopAndBottom/>
          <wp:docPr id="6"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7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605" cy="650240"/>
                  </a:xfrm>
                  <a:prstGeom prst="rect">
                    <a:avLst/>
                  </a:prstGeom>
                </pic:spPr>
              </pic:pic>
            </a:graphicData>
          </a:graphic>
        </wp:anchor>
      </w:drawing>
    </w:r>
    <w:r>
      <w:rPr>
        <w:noProof/>
        <w:lang w:eastAsia="fr-BE"/>
      </w:rPr>
      <w:drawing>
        <wp:anchor distT="0" distB="0" distL="114300" distR="114300" simplePos="0" relativeHeight="251659264" behindDoc="0" locked="0" layoutInCell="1" allowOverlap="1" wp14:anchorId="30317C0C" wp14:editId="757092CD">
          <wp:simplePos x="0" y="0"/>
          <wp:positionH relativeFrom="column">
            <wp:posOffset>0</wp:posOffset>
          </wp:positionH>
          <wp:positionV relativeFrom="paragraph">
            <wp:posOffset>153670</wp:posOffset>
          </wp:positionV>
          <wp:extent cx="2118360" cy="680085"/>
          <wp:effectExtent l="0" t="0" r="0" b="5715"/>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18360" cy="680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939CB"/>
    <w:multiLevelType w:val="multilevel"/>
    <w:tmpl w:val="255C877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3DA05D34"/>
    <w:multiLevelType w:val="hybridMultilevel"/>
    <w:tmpl w:val="8228C7C8"/>
    <w:lvl w:ilvl="0" w:tplc="936E646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1196EC0"/>
    <w:multiLevelType w:val="hybridMultilevel"/>
    <w:tmpl w:val="218444C2"/>
    <w:lvl w:ilvl="0" w:tplc="40045686">
      <w:start w:val="1"/>
      <w:numFmt w:val="bullet"/>
      <w:lvlText w:val=""/>
      <w:lvlJc w:val="left"/>
      <w:pPr>
        <w:ind w:left="787"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10"/>
    <w:rsid w:val="00002107"/>
    <w:rsid w:val="000054C0"/>
    <w:rsid w:val="00010ACA"/>
    <w:rsid w:val="00015B5D"/>
    <w:rsid w:val="0001664B"/>
    <w:rsid w:val="00025A40"/>
    <w:rsid w:val="000334EF"/>
    <w:rsid w:val="00033A3D"/>
    <w:rsid w:val="0003630F"/>
    <w:rsid w:val="000414D7"/>
    <w:rsid w:val="00045C4B"/>
    <w:rsid w:val="00045DA9"/>
    <w:rsid w:val="000473DB"/>
    <w:rsid w:val="00051643"/>
    <w:rsid w:val="000574C9"/>
    <w:rsid w:val="00063A71"/>
    <w:rsid w:val="000646C3"/>
    <w:rsid w:val="000700B1"/>
    <w:rsid w:val="00070FDB"/>
    <w:rsid w:val="00071790"/>
    <w:rsid w:val="0007218F"/>
    <w:rsid w:val="00072FA8"/>
    <w:rsid w:val="00075B13"/>
    <w:rsid w:val="00081BDB"/>
    <w:rsid w:val="00084E14"/>
    <w:rsid w:val="0009196A"/>
    <w:rsid w:val="00092EA6"/>
    <w:rsid w:val="000971B0"/>
    <w:rsid w:val="00097840"/>
    <w:rsid w:val="000A1152"/>
    <w:rsid w:val="000A11A0"/>
    <w:rsid w:val="000A579D"/>
    <w:rsid w:val="000A6CA3"/>
    <w:rsid w:val="000B3EEA"/>
    <w:rsid w:val="000B5217"/>
    <w:rsid w:val="000B5328"/>
    <w:rsid w:val="000B71B2"/>
    <w:rsid w:val="000B74F2"/>
    <w:rsid w:val="000C022E"/>
    <w:rsid w:val="000C4A4D"/>
    <w:rsid w:val="000C5132"/>
    <w:rsid w:val="000C5DBB"/>
    <w:rsid w:val="000C68A9"/>
    <w:rsid w:val="000D419C"/>
    <w:rsid w:val="000D79CB"/>
    <w:rsid w:val="000E1472"/>
    <w:rsid w:val="000E21C4"/>
    <w:rsid w:val="000E3585"/>
    <w:rsid w:val="000E6739"/>
    <w:rsid w:val="000F0C0C"/>
    <w:rsid w:val="000F3005"/>
    <w:rsid w:val="00102A37"/>
    <w:rsid w:val="00102A90"/>
    <w:rsid w:val="00106595"/>
    <w:rsid w:val="001066C0"/>
    <w:rsid w:val="00107114"/>
    <w:rsid w:val="00107D10"/>
    <w:rsid w:val="00110D3D"/>
    <w:rsid w:val="001111FA"/>
    <w:rsid w:val="001122CE"/>
    <w:rsid w:val="001134D1"/>
    <w:rsid w:val="0011499A"/>
    <w:rsid w:val="00114B7A"/>
    <w:rsid w:val="00115A2E"/>
    <w:rsid w:val="001166FD"/>
    <w:rsid w:val="0011712F"/>
    <w:rsid w:val="001178D2"/>
    <w:rsid w:val="00121D6A"/>
    <w:rsid w:val="00125095"/>
    <w:rsid w:val="001278F4"/>
    <w:rsid w:val="00131B88"/>
    <w:rsid w:val="00133BEC"/>
    <w:rsid w:val="00134828"/>
    <w:rsid w:val="00135209"/>
    <w:rsid w:val="00140BFE"/>
    <w:rsid w:val="00147E27"/>
    <w:rsid w:val="001549B3"/>
    <w:rsid w:val="00156F63"/>
    <w:rsid w:val="00157B3E"/>
    <w:rsid w:val="001610D2"/>
    <w:rsid w:val="00164269"/>
    <w:rsid w:val="00170070"/>
    <w:rsid w:val="001722A5"/>
    <w:rsid w:val="001756C6"/>
    <w:rsid w:val="00183578"/>
    <w:rsid w:val="0018396B"/>
    <w:rsid w:val="001901D5"/>
    <w:rsid w:val="00190486"/>
    <w:rsid w:val="0019131F"/>
    <w:rsid w:val="00193870"/>
    <w:rsid w:val="001963AA"/>
    <w:rsid w:val="001973CC"/>
    <w:rsid w:val="001A5373"/>
    <w:rsid w:val="001A6139"/>
    <w:rsid w:val="001A6468"/>
    <w:rsid w:val="001B23D6"/>
    <w:rsid w:val="001B43D9"/>
    <w:rsid w:val="001B4E47"/>
    <w:rsid w:val="001C2651"/>
    <w:rsid w:val="001C29A6"/>
    <w:rsid w:val="001C4A93"/>
    <w:rsid w:val="001D13E7"/>
    <w:rsid w:val="001D2308"/>
    <w:rsid w:val="001D5B67"/>
    <w:rsid w:val="001D70D1"/>
    <w:rsid w:val="001E1B31"/>
    <w:rsid w:val="001E2010"/>
    <w:rsid w:val="001E3ED5"/>
    <w:rsid w:val="001E5AD9"/>
    <w:rsid w:val="001E6484"/>
    <w:rsid w:val="00201134"/>
    <w:rsid w:val="00205F42"/>
    <w:rsid w:val="00212FEB"/>
    <w:rsid w:val="00216020"/>
    <w:rsid w:val="002170B9"/>
    <w:rsid w:val="00220AA2"/>
    <w:rsid w:val="00221E23"/>
    <w:rsid w:val="00223009"/>
    <w:rsid w:val="002236D3"/>
    <w:rsid w:val="00226B8C"/>
    <w:rsid w:val="00235637"/>
    <w:rsid w:val="0023762A"/>
    <w:rsid w:val="002446B7"/>
    <w:rsid w:val="00251B7C"/>
    <w:rsid w:val="002549CA"/>
    <w:rsid w:val="00255835"/>
    <w:rsid w:val="00257852"/>
    <w:rsid w:val="00257BCF"/>
    <w:rsid w:val="00261B64"/>
    <w:rsid w:val="0026346D"/>
    <w:rsid w:val="00263730"/>
    <w:rsid w:val="002646ED"/>
    <w:rsid w:val="00266A13"/>
    <w:rsid w:val="00267CA2"/>
    <w:rsid w:val="002701A2"/>
    <w:rsid w:val="00272328"/>
    <w:rsid w:val="00273360"/>
    <w:rsid w:val="00274D7D"/>
    <w:rsid w:val="00275F4B"/>
    <w:rsid w:val="00276547"/>
    <w:rsid w:val="002825BF"/>
    <w:rsid w:val="002839B1"/>
    <w:rsid w:val="002850EB"/>
    <w:rsid w:val="00286948"/>
    <w:rsid w:val="00287731"/>
    <w:rsid w:val="00287A84"/>
    <w:rsid w:val="00290395"/>
    <w:rsid w:val="002916CB"/>
    <w:rsid w:val="00292A9A"/>
    <w:rsid w:val="00293441"/>
    <w:rsid w:val="0029632C"/>
    <w:rsid w:val="002A0CAC"/>
    <w:rsid w:val="002A1D4A"/>
    <w:rsid w:val="002A27F0"/>
    <w:rsid w:val="002B0519"/>
    <w:rsid w:val="002B6972"/>
    <w:rsid w:val="002B7A14"/>
    <w:rsid w:val="002C0B3E"/>
    <w:rsid w:val="002C305B"/>
    <w:rsid w:val="002C4A97"/>
    <w:rsid w:val="002C5EB4"/>
    <w:rsid w:val="002D0966"/>
    <w:rsid w:val="002D3BB8"/>
    <w:rsid w:val="002D7419"/>
    <w:rsid w:val="002E31DF"/>
    <w:rsid w:val="002E42AC"/>
    <w:rsid w:val="002E4709"/>
    <w:rsid w:val="002E48F3"/>
    <w:rsid w:val="002F4258"/>
    <w:rsid w:val="002F5C94"/>
    <w:rsid w:val="002F7281"/>
    <w:rsid w:val="0030102F"/>
    <w:rsid w:val="00304E97"/>
    <w:rsid w:val="00307F50"/>
    <w:rsid w:val="00314805"/>
    <w:rsid w:val="00315E5B"/>
    <w:rsid w:val="00316426"/>
    <w:rsid w:val="00316E6C"/>
    <w:rsid w:val="0032029C"/>
    <w:rsid w:val="003235D8"/>
    <w:rsid w:val="00324953"/>
    <w:rsid w:val="00326110"/>
    <w:rsid w:val="00330982"/>
    <w:rsid w:val="003347C8"/>
    <w:rsid w:val="003353C3"/>
    <w:rsid w:val="00337DF1"/>
    <w:rsid w:val="00340FD8"/>
    <w:rsid w:val="00342A3A"/>
    <w:rsid w:val="0034395D"/>
    <w:rsid w:val="00344616"/>
    <w:rsid w:val="00351493"/>
    <w:rsid w:val="00354100"/>
    <w:rsid w:val="00357442"/>
    <w:rsid w:val="00361B9D"/>
    <w:rsid w:val="00366171"/>
    <w:rsid w:val="00367D01"/>
    <w:rsid w:val="00367E32"/>
    <w:rsid w:val="00370EC5"/>
    <w:rsid w:val="00371379"/>
    <w:rsid w:val="00371A67"/>
    <w:rsid w:val="003729E4"/>
    <w:rsid w:val="003745D5"/>
    <w:rsid w:val="00374851"/>
    <w:rsid w:val="003753E1"/>
    <w:rsid w:val="00376A99"/>
    <w:rsid w:val="003804BD"/>
    <w:rsid w:val="0038421C"/>
    <w:rsid w:val="00390231"/>
    <w:rsid w:val="003935AD"/>
    <w:rsid w:val="00395B67"/>
    <w:rsid w:val="00396D4C"/>
    <w:rsid w:val="003A483E"/>
    <w:rsid w:val="003A4A0B"/>
    <w:rsid w:val="003A4EA0"/>
    <w:rsid w:val="003A50E2"/>
    <w:rsid w:val="003A72D2"/>
    <w:rsid w:val="003B15C5"/>
    <w:rsid w:val="003B7666"/>
    <w:rsid w:val="003B79AD"/>
    <w:rsid w:val="003C02D0"/>
    <w:rsid w:val="003C0DFF"/>
    <w:rsid w:val="003C139F"/>
    <w:rsid w:val="003C269F"/>
    <w:rsid w:val="003C3B04"/>
    <w:rsid w:val="003D1639"/>
    <w:rsid w:val="003E0C55"/>
    <w:rsid w:val="003E1A91"/>
    <w:rsid w:val="003E5D03"/>
    <w:rsid w:val="003F2CED"/>
    <w:rsid w:val="003F44C9"/>
    <w:rsid w:val="003F60E2"/>
    <w:rsid w:val="003F656E"/>
    <w:rsid w:val="003F6EF2"/>
    <w:rsid w:val="00403072"/>
    <w:rsid w:val="00404218"/>
    <w:rsid w:val="00404486"/>
    <w:rsid w:val="004052C9"/>
    <w:rsid w:val="00407B39"/>
    <w:rsid w:val="00410ADD"/>
    <w:rsid w:val="00411608"/>
    <w:rsid w:val="00411CF2"/>
    <w:rsid w:val="00411D5C"/>
    <w:rsid w:val="0041205E"/>
    <w:rsid w:val="00420221"/>
    <w:rsid w:val="00421A88"/>
    <w:rsid w:val="00421B21"/>
    <w:rsid w:val="004235D6"/>
    <w:rsid w:val="00426997"/>
    <w:rsid w:val="004314B9"/>
    <w:rsid w:val="00434BF0"/>
    <w:rsid w:val="00434DEE"/>
    <w:rsid w:val="0043584C"/>
    <w:rsid w:val="00435FD3"/>
    <w:rsid w:val="00440A3A"/>
    <w:rsid w:val="00462520"/>
    <w:rsid w:val="00467D73"/>
    <w:rsid w:val="00470C54"/>
    <w:rsid w:val="004752D7"/>
    <w:rsid w:val="00480053"/>
    <w:rsid w:val="00480A59"/>
    <w:rsid w:val="00485FBC"/>
    <w:rsid w:val="00493438"/>
    <w:rsid w:val="00494E44"/>
    <w:rsid w:val="004A009A"/>
    <w:rsid w:val="004A0AF4"/>
    <w:rsid w:val="004A6478"/>
    <w:rsid w:val="004A64B0"/>
    <w:rsid w:val="004A692E"/>
    <w:rsid w:val="004A69D3"/>
    <w:rsid w:val="004B7481"/>
    <w:rsid w:val="004B772C"/>
    <w:rsid w:val="004B7E6D"/>
    <w:rsid w:val="004C2E1F"/>
    <w:rsid w:val="004C404F"/>
    <w:rsid w:val="004C6A43"/>
    <w:rsid w:val="004D3FFF"/>
    <w:rsid w:val="004D6C92"/>
    <w:rsid w:val="004D6D47"/>
    <w:rsid w:val="004D7771"/>
    <w:rsid w:val="004E07B2"/>
    <w:rsid w:val="004E7328"/>
    <w:rsid w:val="004F2207"/>
    <w:rsid w:val="004F58A3"/>
    <w:rsid w:val="004F7F74"/>
    <w:rsid w:val="0050607F"/>
    <w:rsid w:val="00507069"/>
    <w:rsid w:val="005108DC"/>
    <w:rsid w:val="00512416"/>
    <w:rsid w:val="005150DB"/>
    <w:rsid w:val="005178AF"/>
    <w:rsid w:val="00520508"/>
    <w:rsid w:val="00520DA6"/>
    <w:rsid w:val="00522FD9"/>
    <w:rsid w:val="005269E0"/>
    <w:rsid w:val="00530077"/>
    <w:rsid w:val="005329D7"/>
    <w:rsid w:val="00537864"/>
    <w:rsid w:val="00541C3D"/>
    <w:rsid w:val="00542C58"/>
    <w:rsid w:val="00543386"/>
    <w:rsid w:val="00544102"/>
    <w:rsid w:val="005530F7"/>
    <w:rsid w:val="0055321F"/>
    <w:rsid w:val="00557DFE"/>
    <w:rsid w:val="00566092"/>
    <w:rsid w:val="00566F13"/>
    <w:rsid w:val="005676D9"/>
    <w:rsid w:val="005737FC"/>
    <w:rsid w:val="00575EBD"/>
    <w:rsid w:val="00576BD3"/>
    <w:rsid w:val="00582946"/>
    <w:rsid w:val="005840C6"/>
    <w:rsid w:val="00586B08"/>
    <w:rsid w:val="00586EB3"/>
    <w:rsid w:val="00591E17"/>
    <w:rsid w:val="00592B27"/>
    <w:rsid w:val="00593FE7"/>
    <w:rsid w:val="005A1093"/>
    <w:rsid w:val="005A1750"/>
    <w:rsid w:val="005A1C5F"/>
    <w:rsid w:val="005A2AAF"/>
    <w:rsid w:val="005B14FF"/>
    <w:rsid w:val="005B1E38"/>
    <w:rsid w:val="005B25B4"/>
    <w:rsid w:val="005B285B"/>
    <w:rsid w:val="005B3C85"/>
    <w:rsid w:val="005C1556"/>
    <w:rsid w:val="005C1B5C"/>
    <w:rsid w:val="005C21EF"/>
    <w:rsid w:val="005C22FF"/>
    <w:rsid w:val="005C76B1"/>
    <w:rsid w:val="005C7CC4"/>
    <w:rsid w:val="005D2C94"/>
    <w:rsid w:val="005D33DE"/>
    <w:rsid w:val="005D35A2"/>
    <w:rsid w:val="005D41F9"/>
    <w:rsid w:val="005D6CCA"/>
    <w:rsid w:val="005E05AF"/>
    <w:rsid w:val="005E2154"/>
    <w:rsid w:val="005E2B81"/>
    <w:rsid w:val="005E48DA"/>
    <w:rsid w:val="005E5D36"/>
    <w:rsid w:val="005F21BB"/>
    <w:rsid w:val="00600499"/>
    <w:rsid w:val="00600B48"/>
    <w:rsid w:val="006035B2"/>
    <w:rsid w:val="00612129"/>
    <w:rsid w:val="006136C0"/>
    <w:rsid w:val="00614950"/>
    <w:rsid w:val="00622DE7"/>
    <w:rsid w:val="00625C9E"/>
    <w:rsid w:val="00626E87"/>
    <w:rsid w:val="006304EE"/>
    <w:rsid w:val="00630AA5"/>
    <w:rsid w:val="006315E1"/>
    <w:rsid w:val="0063379C"/>
    <w:rsid w:val="0063404C"/>
    <w:rsid w:val="006352AB"/>
    <w:rsid w:val="00635FEC"/>
    <w:rsid w:val="00642002"/>
    <w:rsid w:val="00643D27"/>
    <w:rsid w:val="00644D9C"/>
    <w:rsid w:val="00644F09"/>
    <w:rsid w:val="006518AF"/>
    <w:rsid w:val="00653C0B"/>
    <w:rsid w:val="00656907"/>
    <w:rsid w:val="006634D2"/>
    <w:rsid w:val="0066353E"/>
    <w:rsid w:val="006637F9"/>
    <w:rsid w:val="00670FF0"/>
    <w:rsid w:val="00671190"/>
    <w:rsid w:val="00671295"/>
    <w:rsid w:val="0067457A"/>
    <w:rsid w:val="00676998"/>
    <w:rsid w:val="00683539"/>
    <w:rsid w:val="006841E1"/>
    <w:rsid w:val="006901BD"/>
    <w:rsid w:val="00691ADD"/>
    <w:rsid w:val="006A11EA"/>
    <w:rsid w:val="006A4973"/>
    <w:rsid w:val="006A4F41"/>
    <w:rsid w:val="006B0C19"/>
    <w:rsid w:val="006B3DB0"/>
    <w:rsid w:val="006B3FFD"/>
    <w:rsid w:val="006B52D2"/>
    <w:rsid w:val="006C0CAC"/>
    <w:rsid w:val="006C39AC"/>
    <w:rsid w:val="006D07D8"/>
    <w:rsid w:val="006D0E88"/>
    <w:rsid w:val="006D31E8"/>
    <w:rsid w:val="006D5C03"/>
    <w:rsid w:val="006E05E8"/>
    <w:rsid w:val="006E6956"/>
    <w:rsid w:val="006F203F"/>
    <w:rsid w:val="006F685F"/>
    <w:rsid w:val="00713020"/>
    <w:rsid w:val="00713FC8"/>
    <w:rsid w:val="007162E4"/>
    <w:rsid w:val="007166D2"/>
    <w:rsid w:val="00717D5D"/>
    <w:rsid w:val="00720DDA"/>
    <w:rsid w:val="00722859"/>
    <w:rsid w:val="00722A57"/>
    <w:rsid w:val="00722B97"/>
    <w:rsid w:val="00722DDE"/>
    <w:rsid w:val="00724ABE"/>
    <w:rsid w:val="0072568F"/>
    <w:rsid w:val="0072769C"/>
    <w:rsid w:val="0073012E"/>
    <w:rsid w:val="00734887"/>
    <w:rsid w:val="00734C6E"/>
    <w:rsid w:val="00736C18"/>
    <w:rsid w:val="00741CF0"/>
    <w:rsid w:val="00743C67"/>
    <w:rsid w:val="0075041A"/>
    <w:rsid w:val="00751092"/>
    <w:rsid w:val="00753EAD"/>
    <w:rsid w:val="007649B2"/>
    <w:rsid w:val="00764BB9"/>
    <w:rsid w:val="0077218E"/>
    <w:rsid w:val="0077576B"/>
    <w:rsid w:val="007818AE"/>
    <w:rsid w:val="007877C8"/>
    <w:rsid w:val="007925D7"/>
    <w:rsid w:val="007A1A42"/>
    <w:rsid w:val="007A75BB"/>
    <w:rsid w:val="007B053F"/>
    <w:rsid w:val="007B1BAA"/>
    <w:rsid w:val="007B2509"/>
    <w:rsid w:val="007B64E1"/>
    <w:rsid w:val="007B7EC7"/>
    <w:rsid w:val="007C0577"/>
    <w:rsid w:val="007D0510"/>
    <w:rsid w:val="007D1529"/>
    <w:rsid w:val="007D21C5"/>
    <w:rsid w:val="007D6105"/>
    <w:rsid w:val="007E26B1"/>
    <w:rsid w:val="007E313A"/>
    <w:rsid w:val="007E6D26"/>
    <w:rsid w:val="007F4203"/>
    <w:rsid w:val="007F5F9E"/>
    <w:rsid w:val="008004F5"/>
    <w:rsid w:val="00801E3D"/>
    <w:rsid w:val="00803EDA"/>
    <w:rsid w:val="00804AA8"/>
    <w:rsid w:val="00805BC2"/>
    <w:rsid w:val="00805D79"/>
    <w:rsid w:val="008104DB"/>
    <w:rsid w:val="0081125F"/>
    <w:rsid w:val="0081225A"/>
    <w:rsid w:val="00813C9E"/>
    <w:rsid w:val="00821C98"/>
    <w:rsid w:val="00821D11"/>
    <w:rsid w:val="00821D7F"/>
    <w:rsid w:val="00824168"/>
    <w:rsid w:val="008249AF"/>
    <w:rsid w:val="00825DD1"/>
    <w:rsid w:val="00826133"/>
    <w:rsid w:val="008278A3"/>
    <w:rsid w:val="00835A4B"/>
    <w:rsid w:val="00836320"/>
    <w:rsid w:val="00836A60"/>
    <w:rsid w:val="008450EB"/>
    <w:rsid w:val="00846819"/>
    <w:rsid w:val="0085242A"/>
    <w:rsid w:val="00854BEC"/>
    <w:rsid w:val="00856E05"/>
    <w:rsid w:val="008604DA"/>
    <w:rsid w:val="008607C3"/>
    <w:rsid w:val="00862CC7"/>
    <w:rsid w:val="00862CFA"/>
    <w:rsid w:val="008666A9"/>
    <w:rsid w:val="00877649"/>
    <w:rsid w:val="00877A5F"/>
    <w:rsid w:val="00880BD5"/>
    <w:rsid w:val="008814D9"/>
    <w:rsid w:val="00882336"/>
    <w:rsid w:val="0088698E"/>
    <w:rsid w:val="00890090"/>
    <w:rsid w:val="00891CB5"/>
    <w:rsid w:val="008933CB"/>
    <w:rsid w:val="008A23BF"/>
    <w:rsid w:val="008A266A"/>
    <w:rsid w:val="008A293D"/>
    <w:rsid w:val="008A2EBD"/>
    <w:rsid w:val="008B440C"/>
    <w:rsid w:val="008C0C71"/>
    <w:rsid w:val="008C6E8B"/>
    <w:rsid w:val="008C7A27"/>
    <w:rsid w:val="008D0DE8"/>
    <w:rsid w:val="008D197E"/>
    <w:rsid w:val="008D369B"/>
    <w:rsid w:val="008D4DFA"/>
    <w:rsid w:val="008F0CB0"/>
    <w:rsid w:val="008F1E22"/>
    <w:rsid w:val="008F5C20"/>
    <w:rsid w:val="008F6787"/>
    <w:rsid w:val="00901238"/>
    <w:rsid w:val="009057FD"/>
    <w:rsid w:val="00905F16"/>
    <w:rsid w:val="0091108E"/>
    <w:rsid w:val="00915B73"/>
    <w:rsid w:val="009167FE"/>
    <w:rsid w:val="00920133"/>
    <w:rsid w:val="0092409F"/>
    <w:rsid w:val="00931734"/>
    <w:rsid w:val="009336E4"/>
    <w:rsid w:val="009348FD"/>
    <w:rsid w:val="00934CBE"/>
    <w:rsid w:val="00941247"/>
    <w:rsid w:val="009434EE"/>
    <w:rsid w:val="009473DB"/>
    <w:rsid w:val="009508D8"/>
    <w:rsid w:val="00952BC2"/>
    <w:rsid w:val="00952E91"/>
    <w:rsid w:val="00953916"/>
    <w:rsid w:val="00956718"/>
    <w:rsid w:val="009567F9"/>
    <w:rsid w:val="00957979"/>
    <w:rsid w:val="00962536"/>
    <w:rsid w:val="00965FCD"/>
    <w:rsid w:val="00967EA2"/>
    <w:rsid w:val="00971E92"/>
    <w:rsid w:val="00972980"/>
    <w:rsid w:val="00990406"/>
    <w:rsid w:val="00990574"/>
    <w:rsid w:val="00990A02"/>
    <w:rsid w:val="0099218F"/>
    <w:rsid w:val="00993D67"/>
    <w:rsid w:val="00997112"/>
    <w:rsid w:val="009A02ED"/>
    <w:rsid w:val="009A0430"/>
    <w:rsid w:val="009A100D"/>
    <w:rsid w:val="009B36F2"/>
    <w:rsid w:val="009C0384"/>
    <w:rsid w:val="009C452F"/>
    <w:rsid w:val="009C6A85"/>
    <w:rsid w:val="009C7494"/>
    <w:rsid w:val="009D55FF"/>
    <w:rsid w:val="009E282B"/>
    <w:rsid w:val="009F3D6A"/>
    <w:rsid w:val="009F7AB3"/>
    <w:rsid w:val="00A00BA4"/>
    <w:rsid w:val="00A04869"/>
    <w:rsid w:val="00A1262D"/>
    <w:rsid w:val="00A12740"/>
    <w:rsid w:val="00A12F7F"/>
    <w:rsid w:val="00A14720"/>
    <w:rsid w:val="00A158F3"/>
    <w:rsid w:val="00A15B77"/>
    <w:rsid w:val="00A20011"/>
    <w:rsid w:val="00A217D4"/>
    <w:rsid w:val="00A23880"/>
    <w:rsid w:val="00A2519E"/>
    <w:rsid w:val="00A26BC7"/>
    <w:rsid w:val="00A27435"/>
    <w:rsid w:val="00A27CD6"/>
    <w:rsid w:val="00A3075A"/>
    <w:rsid w:val="00A3427B"/>
    <w:rsid w:val="00A356EF"/>
    <w:rsid w:val="00A35EC7"/>
    <w:rsid w:val="00A36445"/>
    <w:rsid w:val="00A40933"/>
    <w:rsid w:val="00A41864"/>
    <w:rsid w:val="00A434B7"/>
    <w:rsid w:val="00A4431E"/>
    <w:rsid w:val="00A445DD"/>
    <w:rsid w:val="00A46A4D"/>
    <w:rsid w:val="00A533CC"/>
    <w:rsid w:val="00A54684"/>
    <w:rsid w:val="00A56BC0"/>
    <w:rsid w:val="00A604BA"/>
    <w:rsid w:val="00A633D5"/>
    <w:rsid w:val="00A642D8"/>
    <w:rsid w:val="00A65C3E"/>
    <w:rsid w:val="00A764B9"/>
    <w:rsid w:val="00A805A8"/>
    <w:rsid w:val="00A81EFB"/>
    <w:rsid w:val="00A848D6"/>
    <w:rsid w:val="00A97909"/>
    <w:rsid w:val="00AA2A6D"/>
    <w:rsid w:val="00AA4C8D"/>
    <w:rsid w:val="00AA547E"/>
    <w:rsid w:val="00AA632C"/>
    <w:rsid w:val="00AB0241"/>
    <w:rsid w:val="00AB0DC2"/>
    <w:rsid w:val="00AB12AA"/>
    <w:rsid w:val="00AB2F1C"/>
    <w:rsid w:val="00AB3425"/>
    <w:rsid w:val="00AB5410"/>
    <w:rsid w:val="00AB785B"/>
    <w:rsid w:val="00AC22D7"/>
    <w:rsid w:val="00AD009B"/>
    <w:rsid w:val="00AD0A97"/>
    <w:rsid w:val="00AD0D04"/>
    <w:rsid w:val="00AD3B7D"/>
    <w:rsid w:val="00AD476E"/>
    <w:rsid w:val="00AD6339"/>
    <w:rsid w:val="00AD6D48"/>
    <w:rsid w:val="00AE1CD9"/>
    <w:rsid w:val="00AE6232"/>
    <w:rsid w:val="00AF3623"/>
    <w:rsid w:val="00AF6D5D"/>
    <w:rsid w:val="00AF7741"/>
    <w:rsid w:val="00B02198"/>
    <w:rsid w:val="00B038B4"/>
    <w:rsid w:val="00B03DFC"/>
    <w:rsid w:val="00B04BCA"/>
    <w:rsid w:val="00B0638C"/>
    <w:rsid w:val="00B220A2"/>
    <w:rsid w:val="00B23AFC"/>
    <w:rsid w:val="00B24557"/>
    <w:rsid w:val="00B249D1"/>
    <w:rsid w:val="00B25C9A"/>
    <w:rsid w:val="00B304B9"/>
    <w:rsid w:val="00B33799"/>
    <w:rsid w:val="00B34763"/>
    <w:rsid w:val="00B3682F"/>
    <w:rsid w:val="00B3688D"/>
    <w:rsid w:val="00B415EA"/>
    <w:rsid w:val="00B4707A"/>
    <w:rsid w:val="00B50763"/>
    <w:rsid w:val="00B53037"/>
    <w:rsid w:val="00B54E86"/>
    <w:rsid w:val="00B5798B"/>
    <w:rsid w:val="00B63D7B"/>
    <w:rsid w:val="00B6751B"/>
    <w:rsid w:val="00B67807"/>
    <w:rsid w:val="00B715E0"/>
    <w:rsid w:val="00B74ABE"/>
    <w:rsid w:val="00B75D3E"/>
    <w:rsid w:val="00B83E59"/>
    <w:rsid w:val="00B840D5"/>
    <w:rsid w:val="00B86584"/>
    <w:rsid w:val="00B9100C"/>
    <w:rsid w:val="00B92F2A"/>
    <w:rsid w:val="00B93227"/>
    <w:rsid w:val="00B94623"/>
    <w:rsid w:val="00B94DAE"/>
    <w:rsid w:val="00B95762"/>
    <w:rsid w:val="00BA2A74"/>
    <w:rsid w:val="00BA597B"/>
    <w:rsid w:val="00BB7B82"/>
    <w:rsid w:val="00BC41DC"/>
    <w:rsid w:val="00BC57C7"/>
    <w:rsid w:val="00BD3FD1"/>
    <w:rsid w:val="00BD532F"/>
    <w:rsid w:val="00BD60C8"/>
    <w:rsid w:val="00BD73BF"/>
    <w:rsid w:val="00BD765E"/>
    <w:rsid w:val="00BD7C37"/>
    <w:rsid w:val="00BE07B7"/>
    <w:rsid w:val="00BE17AE"/>
    <w:rsid w:val="00BE3989"/>
    <w:rsid w:val="00BE442A"/>
    <w:rsid w:val="00BE5D12"/>
    <w:rsid w:val="00BF4D2E"/>
    <w:rsid w:val="00BF6821"/>
    <w:rsid w:val="00BF7355"/>
    <w:rsid w:val="00BF7C7C"/>
    <w:rsid w:val="00C01806"/>
    <w:rsid w:val="00C01E37"/>
    <w:rsid w:val="00C02C24"/>
    <w:rsid w:val="00C047B3"/>
    <w:rsid w:val="00C04B9A"/>
    <w:rsid w:val="00C0592B"/>
    <w:rsid w:val="00C066A1"/>
    <w:rsid w:val="00C066A4"/>
    <w:rsid w:val="00C10BB1"/>
    <w:rsid w:val="00C13C6B"/>
    <w:rsid w:val="00C1561B"/>
    <w:rsid w:val="00C16D07"/>
    <w:rsid w:val="00C234FB"/>
    <w:rsid w:val="00C26D47"/>
    <w:rsid w:val="00C34F19"/>
    <w:rsid w:val="00C402C9"/>
    <w:rsid w:val="00C40EF2"/>
    <w:rsid w:val="00C41019"/>
    <w:rsid w:val="00C500E9"/>
    <w:rsid w:val="00C50831"/>
    <w:rsid w:val="00C6442C"/>
    <w:rsid w:val="00C652D8"/>
    <w:rsid w:val="00C65F0B"/>
    <w:rsid w:val="00C70859"/>
    <w:rsid w:val="00C724A3"/>
    <w:rsid w:val="00C72B8E"/>
    <w:rsid w:val="00C76A1B"/>
    <w:rsid w:val="00C85DD9"/>
    <w:rsid w:val="00C87CD8"/>
    <w:rsid w:val="00C915E1"/>
    <w:rsid w:val="00C93594"/>
    <w:rsid w:val="00C93A56"/>
    <w:rsid w:val="00CA00EA"/>
    <w:rsid w:val="00CA0785"/>
    <w:rsid w:val="00CA5292"/>
    <w:rsid w:val="00CA7C3F"/>
    <w:rsid w:val="00CB04AA"/>
    <w:rsid w:val="00CB1F17"/>
    <w:rsid w:val="00CB2893"/>
    <w:rsid w:val="00CB6D57"/>
    <w:rsid w:val="00CC565E"/>
    <w:rsid w:val="00CC72B2"/>
    <w:rsid w:val="00CD11AE"/>
    <w:rsid w:val="00CD28F6"/>
    <w:rsid w:val="00CD42E2"/>
    <w:rsid w:val="00CD4D44"/>
    <w:rsid w:val="00CD655E"/>
    <w:rsid w:val="00CE0C30"/>
    <w:rsid w:val="00CE6414"/>
    <w:rsid w:val="00CE68F7"/>
    <w:rsid w:val="00CF0FC7"/>
    <w:rsid w:val="00CF327C"/>
    <w:rsid w:val="00CF37BD"/>
    <w:rsid w:val="00CF3F9B"/>
    <w:rsid w:val="00CF5EC0"/>
    <w:rsid w:val="00D00BFC"/>
    <w:rsid w:val="00D04A09"/>
    <w:rsid w:val="00D06F13"/>
    <w:rsid w:val="00D10FE0"/>
    <w:rsid w:val="00D1532D"/>
    <w:rsid w:val="00D231BB"/>
    <w:rsid w:val="00D3219E"/>
    <w:rsid w:val="00D32C09"/>
    <w:rsid w:val="00D32D5F"/>
    <w:rsid w:val="00D3540F"/>
    <w:rsid w:val="00D373BE"/>
    <w:rsid w:val="00D40C3B"/>
    <w:rsid w:val="00D43188"/>
    <w:rsid w:val="00D474F9"/>
    <w:rsid w:val="00D5259F"/>
    <w:rsid w:val="00D5291A"/>
    <w:rsid w:val="00D57B5B"/>
    <w:rsid w:val="00D63CB9"/>
    <w:rsid w:val="00D659C5"/>
    <w:rsid w:val="00D71FEA"/>
    <w:rsid w:val="00D728F2"/>
    <w:rsid w:val="00D7528F"/>
    <w:rsid w:val="00D765E1"/>
    <w:rsid w:val="00D7784E"/>
    <w:rsid w:val="00D81650"/>
    <w:rsid w:val="00D831E8"/>
    <w:rsid w:val="00D85A09"/>
    <w:rsid w:val="00D86243"/>
    <w:rsid w:val="00D973D7"/>
    <w:rsid w:val="00DA26EF"/>
    <w:rsid w:val="00DA4FFD"/>
    <w:rsid w:val="00DB366C"/>
    <w:rsid w:val="00DB5F55"/>
    <w:rsid w:val="00DB7908"/>
    <w:rsid w:val="00DD77FE"/>
    <w:rsid w:val="00DD7BDD"/>
    <w:rsid w:val="00DD7C92"/>
    <w:rsid w:val="00DE07D8"/>
    <w:rsid w:val="00DE2CBB"/>
    <w:rsid w:val="00DE4D29"/>
    <w:rsid w:val="00DE5924"/>
    <w:rsid w:val="00DF363E"/>
    <w:rsid w:val="00DF38FC"/>
    <w:rsid w:val="00DF4C96"/>
    <w:rsid w:val="00DF6991"/>
    <w:rsid w:val="00DF6FF4"/>
    <w:rsid w:val="00E064F8"/>
    <w:rsid w:val="00E07863"/>
    <w:rsid w:val="00E11D02"/>
    <w:rsid w:val="00E15998"/>
    <w:rsid w:val="00E16788"/>
    <w:rsid w:val="00E17192"/>
    <w:rsid w:val="00E17D62"/>
    <w:rsid w:val="00E21141"/>
    <w:rsid w:val="00E2161F"/>
    <w:rsid w:val="00E21AB9"/>
    <w:rsid w:val="00E22F56"/>
    <w:rsid w:val="00E304F4"/>
    <w:rsid w:val="00E30EBA"/>
    <w:rsid w:val="00E43D28"/>
    <w:rsid w:val="00E446D7"/>
    <w:rsid w:val="00E55B97"/>
    <w:rsid w:val="00E5650D"/>
    <w:rsid w:val="00E60118"/>
    <w:rsid w:val="00E644AD"/>
    <w:rsid w:val="00E70BF4"/>
    <w:rsid w:val="00E71DF2"/>
    <w:rsid w:val="00E7671C"/>
    <w:rsid w:val="00E80F2F"/>
    <w:rsid w:val="00E84E04"/>
    <w:rsid w:val="00E93837"/>
    <w:rsid w:val="00E960BF"/>
    <w:rsid w:val="00E96328"/>
    <w:rsid w:val="00E96522"/>
    <w:rsid w:val="00E96C36"/>
    <w:rsid w:val="00EA2BB2"/>
    <w:rsid w:val="00EA3AE3"/>
    <w:rsid w:val="00EA5A20"/>
    <w:rsid w:val="00EA6D47"/>
    <w:rsid w:val="00EA707D"/>
    <w:rsid w:val="00EA73BF"/>
    <w:rsid w:val="00EB1A06"/>
    <w:rsid w:val="00EB31F1"/>
    <w:rsid w:val="00EB64CB"/>
    <w:rsid w:val="00EB678D"/>
    <w:rsid w:val="00EC277D"/>
    <w:rsid w:val="00EC457A"/>
    <w:rsid w:val="00ED0960"/>
    <w:rsid w:val="00ED2097"/>
    <w:rsid w:val="00EE2129"/>
    <w:rsid w:val="00EE537C"/>
    <w:rsid w:val="00EE61B0"/>
    <w:rsid w:val="00EF5CDC"/>
    <w:rsid w:val="00EF67ED"/>
    <w:rsid w:val="00F05D4B"/>
    <w:rsid w:val="00F06233"/>
    <w:rsid w:val="00F07D0B"/>
    <w:rsid w:val="00F106D3"/>
    <w:rsid w:val="00F1144E"/>
    <w:rsid w:val="00F118F4"/>
    <w:rsid w:val="00F140D2"/>
    <w:rsid w:val="00F14656"/>
    <w:rsid w:val="00F149B4"/>
    <w:rsid w:val="00F153CE"/>
    <w:rsid w:val="00F258E0"/>
    <w:rsid w:val="00F265C4"/>
    <w:rsid w:val="00F31C9C"/>
    <w:rsid w:val="00F32BCB"/>
    <w:rsid w:val="00F34089"/>
    <w:rsid w:val="00F3695F"/>
    <w:rsid w:val="00F511E6"/>
    <w:rsid w:val="00F56619"/>
    <w:rsid w:val="00F56D9A"/>
    <w:rsid w:val="00F56FB6"/>
    <w:rsid w:val="00F57195"/>
    <w:rsid w:val="00F578CD"/>
    <w:rsid w:val="00F63EB4"/>
    <w:rsid w:val="00F659DD"/>
    <w:rsid w:val="00F66A32"/>
    <w:rsid w:val="00F71F4E"/>
    <w:rsid w:val="00F748D3"/>
    <w:rsid w:val="00F85418"/>
    <w:rsid w:val="00F858A2"/>
    <w:rsid w:val="00F8626A"/>
    <w:rsid w:val="00F86D3E"/>
    <w:rsid w:val="00F86DF9"/>
    <w:rsid w:val="00F870EB"/>
    <w:rsid w:val="00F90AE2"/>
    <w:rsid w:val="00F91855"/>
    <w:rsid w:val="00F93DCA"/>
    <w:rsid w:val="00F947B2"/>
    <w:rsid w:val="00F95469"/>
    <w:rsid w:val="00FA362E"/>
    <w:rsid w:val="00FA3908"/>
    <w:rsid w:val="00FA4152"/>
    <w:rsid w:val="00FA6CC1"/>
    <w:rsid w:val="00FB6AB8"/>
    <w:rsid w:val="00FB6C47"/>
    <w:rsid w:val="00FC4B3F"/>
    <w:rsid w:val="00FC5006"/>
    <w:rsid w:val="00FC66D6"/>
    <w:rsid w:val="00FD1490"/>
    <w:rsid w:val="00FD1D90"/>
    <w:rsid w:val="00FD288A"/>
    <w:rsid w:val="00FD3035"/>
    <w:rsid w:val="00FD5850"/>
    <w:rsid w:val="00FE3521"/>
    <w:rsid w:val="00FF018A"/>
    <w:rsid w:val="00FF21A6"/>
    <w:rsid w:val="00FF27D1"/>
    <w:rsid w:val="00FF40AD"/>
    <w:rsid w:val="00FF6DC3"/>
    <w:rsid w:val="00FF7868"/>
    <w:rsid w:val="00FF7C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9D42"/>
  <w15:chartTrackingRefBased/>
  <w15:docId w15:val="{89040D4E-038C-4F4E-A0FB-04F3E695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AC"/>
    <w:pPr>
      <w:jc w:val="both"/>
    </w:pPr>
    <w:rPr>
      <w:sz w:val="20"/>
    </w:rPr>
  </w:style>
  <w:style w:type="paragraph" w:styleId="Titre1">
    <w:name w:val="heading 1"/>
    <w:basedOn w:val="Normal"/>
    <w:next w:val="Normal"/>
    <w:link w:val="Titre1Car"/>
    <w:uiPriority w:val="9"/>
    <w:qFormat/>
    <w:rsid w:val="00A217D4"/>
    <w:pPr>
      <w:numPr>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outlineLvl w:val="0"/>
    </w:pPr>
    <w:rPr>
      <w:rFonts w:ascii="Times New Roman" w:hAnsi="Times New Roman" w:cs="Times New Roman"/>
      <w:b/>
      <w:sz w:val="24"/>
      <w:szCs w:val="24"/>
      <w:lang w:val="fr-FR"/>
    </w:rPr>
  </w:style>
  <w:style w:type="paragraph" w:styleId="Titre2">
    <w:name w:val="heading 2"/>
    <w:basedOn w:val="Normal"/>
    <w:next w:val="Normal"/>
    <w:link w:val="Titre2Car"/>
    <w:uiPriority w:val="9"/>
    <w:unhideWhenUsed/>
    <w:qFormat/>
    <w:rsid w:val="00A217D4"/>
    <w:pPr>
      <w:numPr>
        <w:ilvl w:val="1"/>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ind w:left="578" w:hanging="578"/>
      <w:outlineLvl w:val="1"/>
    </w:pPr>
    <w:rPr>
      <w:rFonts w:ascii="Times New Roman" w:hAnsi="Times New Roman" w:cs="Times New Roman"/>
      <w:b/>
      <w:sz w:val="24"/>
      <w:szCs w:val="24"/>
      <w:lang w:val="fr-FR"/>
    </w:rPr>
  </w:style>
  <w:style w:type="paragraph" w:styleId="Titre3">
    <w:name w:val="heading 3"/>
    <w:basedOn w:val="Normal"/>
    <w:next w:val="Normal"/>
    <w:link w:val="Titre3Car"/>
    <w:uiPriority w:val="9"/>
    <w:unhideWhenUsed/>
    <w:qFormat/>
    <w:rsid w:val="00A217D4"/>
    <w:pPr>
      <w:keepNext/>
      <w:keepLines/>
      <w:numPr>
        <w:ilvl w:val="2"/>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outlineLvl w:val="2"/>
    </w:pPr>
    <w:rPr>
      <w:rFonts w:ascii="Times New Roman" w:eastAsiaTheme="majorEastAsia" w:hAnsi="Times New Roman" w:cstheme="majorBidi"/>
      <w:b/>
      <w:i/>
      <w:sz w:val="24"/>
      <w:szCs w:val="24"/>
      <w:lang w:val="fr-FR"/>
    </w:rPr>
  </w:style>
  <w:style w:type="paragraph" w:styleId="Titre4">
    <w:name w:val="heading 4"/>
    <w:basedOn w:val="Normal"/>
    <w:next w:val="Normal"/>
    <w:link w:val="Titre4Car"/>
    <w:uiPriority w:val="9"/>
    <w:semiHidden/>
    <w:unhideWhenUsed/>
    <w:qFormat/>
    <w:rsid w:val="00A217D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sz w:val="24"/>
      <w:szCs w:val="24"/>
    </w:rPr>
  </w:style>
  <w:style w:type="paragraph" w:styleId="Titre5">
    <w:name w:val="heading 5"/>
    <w:basedOn w:val="Normal"/>
    <w:next w:val="Normal"/>
    <w:link w:val="Titre5Car"/>
    <w:uiPriority w:val="9"/>
    <w:semiHidden/>
    <w:unhideWhenUsed/>
    <w:qFormat/>
    <w:rsid w:val="00A217D4"/>
    <w:pPr>
      <w:keepNext/>
      <w:keepLines/>
      <w:numPr>
        <w:ilvl w:val="4"/>
        <w:numId w:val="1"/>
      </w:numPr>
      <w:spacing w:before="40" w:after="0"/>
      <w:outlineLvl w:val="4"/>
    </w:pPr>
    <w:rPr>
      <w:rFonts w:asciiTheme="majorHAnsi" w:eastAsiaTheme="majorEastAsia" w:hAnsiTheme="majorHAnsi" w:cstheme="majorBidi"/>
      <w:color w:val="2E74B5" w:themeColor="accent1" w:themeShade="BF"/>
      <w:sz w:val="24"/>
      <w:szCs w:val="24"/>
    </w:rPr>
  </w:style>
  <w:style w:type="paragraph" w:styleId="Titre6">
    <w:name w:val="heading 6"/>
    <w:basedOn w:val="Normal"/>
    <w:next w:val="Normal"/>
    <w:link w:val="Titre6Car"/>
    <w:uiPriority w:val="9"/>
    <w:semiHidden/>
    <w:unhideWhenUsed/>
    <w:qFormat/>
    <w:rsid w:val="00A217D4"/>
    <w:pPr>
      <w:keepNext/>
      <w:keepLines/>
      <w:numPr>
        <w:ilvl w:val="5"/>
        <w:numId w:val="1"/>
      </w:numPr>
      <w:spacing w:before="40" w:after="0"/>
      <w:outlineLvl w:val="5"/>
    </w:pPr>
    <w:rPr>
      <w:rFonts w:asciiTheme="majorHAnsi" w:eastAsiaTheme="majorEastAsia" w:hAnsiTheme="majorHAnsi" w:cstheme="majorBidi"/>
      <w:color w:val="1F4D78" w:themeColor="accent1" w:themeShade="7F"/>
      <w:sz w:val="24"/>
      <w:szCs w:val="24"/>
    </w:rPr>
  </w:style>
  <w:style w:type="paragraph" w:styleId="Titre7">
    <w:name w:val="heading 7"/>
    <w:basedOn w:val="Normal"/>
    <w:next w:val="Normal"/>
    <w:link w:val="Titre7Car"/>
    <w:uiPriority w:val="9"/>
    <w:semiHidden/>
    <w:unhideWhenUsed/>
    <w:qFormat/>
    <w:rsid w:val="00A217D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szCs w:val="24"/>
    </w:rPr>
  </w:style>
  <w:style w:type="paragraph" w:styleId="Titre8">
    <w:name w:val="heading 8"/>
    <w:basedOn w:val="Normal"/>
    <w:next w:val="Normal"/>
    <w:link w:val="Titre8Car"/>
    <w:uiPriority w:val="9"/>
    <w:semiHidden/>
    <w:unhideWhenUsed/>
    <w:qFormat/>
    <w:rsid w:val="00A217D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217D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6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6110"/>
    <w:pPr>
      <w:ind w:left="720"/>
      <w:contextualSpacing/>
    </w:pPr>
  </w:style>
  <w:style w:type="paragraph" w:styleId="Notedebasdepage">
    <w:name w:val="footnote text"/>
    <w:basedOn w:val="Normal"/>
    <w:link w:val="NotedebasdepageCar"/>
    <w:uiPriority w:val="99"/>
    <w:semiHidden/>
    <w:unhideWhenUsed/>
    <w:rsid w:val="008933CB"/>
    <w:pPr>
      <w:spacing w:after="0" w:line="240" w:lineRule="auto"/>
    </w:pPr>
    <w:rPr>
      <w:rFonts w:ascii="Times New Roman" w:hAnsi="Times New Roman" w:cs="Times New Roman"/>
      <w:szCs w:val="20"/>
    </w:rPr>
  </w:style>
  <w:style w:type="character" w:customStyle="1" w:styleId="NotedebasdepageCar">
    <w:name w:val="Note de bas de page Car"/>
    <w:basedOn w:val="Policepardfaut"/>
    <w:link w:val="Notedebasdepage"/>
    <w:uiPriority w:val="99"/>
    <w:semiHidden/>
    <w:rsid w:val="008933CB"/>
    <w:rPr>
      <w:rFonts w:ascii="Times New Roman" w:hAnsi="Times New Roman" w:cs="Times New Roman"/>
      <w:sz w:val="20"/>
      <w:szCs w:val="20"/>
    </w:rPr>
  </w:style>
  <w:style w:type="character" w:styleId="Appelnotedebasdep">
    <w:name w:val="footnote reference"/>
    <w:basedOn w:val="Policepardfaut"/>
    <w:uiPriority w:val="99"/>
    <w:semiHidden/>
    <w:unhideWhenUsed/>
    <w:rsid w:val="008933CB"/>
    <w:rPr>
      <w:vertAlign w:val="superscript"/>
    </w:rPr>
  </w:style>
  <w:style w:type="character" w:customStyle="1" w:styleId="Titre1Car">
    <w:name w:val="Titre 1 Car"/>
    <w:basedOn w:val="Policepardfaut"/>
    <w:link w:val="Titre1"/>
    <w:uiPriority w:val="9"/>
    <w:rsid w:val="00A217D4"/>
    <w:rPr>
      <w:rFonts w:ascii="Times New Roman" w:hAnsi="Times New Roman" w:cs="Times New Roman"/>
      <w:b/>
      <w:sz w:val="24"/>
      <w:szCs w:val="24"/>
      <w:shd w:val="clear" w:color="auto" w:fill="BFBFBF" w:themeFill="background1" w:themeFillShade="BF"/>
      <w:lang w:val="fr-FR"/>
    </w:rPr>
  </w:style>
  <w:style w:type="character" w:customStyle="1" w:styleId="Titre2Car">
    <w:name w:val="Titre 2 Car"/>
    <w:basedOn w:val="Policepardfaut"/>
    <w:link w:val="Titre2"/>
    <w:uiPriority w:val="9"/>
    <w:rsid w:val="00A217D4"/>
    <w:rPr>
      <w:rFonts w:ascii="Times New Roman" w:hAnsi="Times New Roman" w:cs="Times New Roman"/>
      <w:b/>
      <w:sz w:val="24"/>
      <w:szCs w:val="24"/>
      <w:shd w:val="clear" w:color="auto" w:fill="D9D9D9" w:themeFill="background1" w:themeFillShade="D9"/>
      <w:lang w:val="fr-FR"/>
    </w:rPr>
  </w:style>
  <w:style w:type="character" w:customStyle="1" w:styleId="Titre3Car">
    <w:name w:val="Titre 3 Car"/>
    <w:basedOn w:val="Policepardfaut"/>
    <w:link w:val="Titre3"/>
    <w:uiPriority w:val="9"/>
    <w:rsid w:val="00A217D4"/>
    <w:rPr>
      <w:rFonts w:ascii="Times New Roman" w:eastAsiaTheme="majorEastAsia" w:hAnsi="Times New Roman" w:cstheme="majorBidi"/>
      <w:b/>
      <w:i/>
      <w:sz w:val="24"/>
      <w:szCs w:val="24"/>
      <w:shd w:val="clear" w:color="auto" w:fill="F2F2F2" w:themeFill="background1" w:themeFillShade="F2"/>
      <w:lang w:val="fr-FR"/>
    </w:rPr>
  </w:style>
  <w:style w:type="character" w:customStyle="1" w:styleId="Titre4Car">
    <w:name w:val="Titre 4 Car"/>
    <w:basedOn w:val="Policepardfaut"/>
    <w:link w:val="Titre4"/>
    <w:uiPriority w:val="9"/>
    <w:semiHidden/>
    <w:rsid w:val="00A217D4"/>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semiHidden/>
    <w:rsid w:val="00A217D4"/>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semiHidden/>
    <w:rsid w:val="00A217D4"/>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semiHidden/>
    <w:rsid w:val="00A217D4"/>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semiHidden/>
    <w:rsid w:val="00A217D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217D4"/>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A217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217D4"/>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1278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78F4"/>
    <w:rPr>
      <w:rFonts w:ascii="Segoe UI" w:hAnsi="Segoe UI" w:cs="Segoe UI"/>
      <w:sz w:val="18"/>
      <w:szCs w:val="18"/>
    </w:rPr>
  </w:style>
  <w:style w:type="paragraph" w:styleId="En-tte">
    <w:name w:val="header"/>
    <w:basedOn w:val="Normal"/>
    <w:link w:val="En-tteCar"/>
    <w:uiPriority w:val="99"/>
    <w:unhideWhenUsed/>
    <w:rsid w:val="0067457A"/>
    <w:pPr>
      <w:tabs>
        <w:tab w:val="center" w:pos="4536"/>
        <w:tab w:val="right" w:pos="9072"/>
      </w:tabs>
      <w:spacing w:after="0" w:line="240" w:lineRule="auto"/>
    </w:pPr>
  </w:style>
  <w:style w:type="character" w:customStyle="1" w:styleId="En-tteCar">
    <w:name w:val="En-tête Car"/>
    <w:basedOn w:val="Policepardfaut"/>
    <w:link w:val="En-tte"/>
    <w:uiPriority w:val="99"/>
    <w:rsid w:val="0067457A"/>
    <w:rPr>
      <w:sz w:val="20"/>
    </w:rPr>
  </w:style>
  <w:style w:type="paragraph" w:styleId="Pieddepage">
    <w:name w:val="footer"/>
    <w:basedOn w:val="Normal"/>
    <w:link w:val="PieddepageCar"/>
    <w:uiPriority w:val="99"/>
    <w:unhideWhenUsed/>
    <w:rsid w:val="006745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457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4141">
      <w:bodyDiv w:val="1"/>
      <w:marLeft w:val="0"/>
      <w:marRight w:val="0"/>
      <w:marTop w:val="0"/>
      <w:marBottom w:val="0"/>
      <w:divBdr>
        <w:top w:val="none" w:sz="0" w:space="0" w:color="auto"/>
        <w:left w:val="none" w:sz="0" w:space="0" w:color="auto"/>
        <w:bottom w:val="none" w:sz="0" w:space="0" w:color="auto"/>
        <w:right w:val="none" w:sz="0" w:space="0" w:color="auto"/>
      </w:divBdr>
    </w:div>
    <w:div w:id="626356441">
      <w:bodyDiv w:val="1"/>
      <w:marLeft w:val="0"/>
      <w:marRight w:val="0"/>
      <w:marTop w:val="0"/>
      <w:marBottom w:val="0"/>
      <w:divBdr>
        <w:top w:val="none" w:sz="0" w:space="0" w:color="auto"/>
        <w:left w:val="none" w:sz="0" w:space="0" w:color="auto"/>
        <w:bottom w:val="none" w:sz="0" w:space="0" w:color="auto"/>
        <w:right w:val="none" w:sz="0" w:space="0" w:color="auto"/>
      </w:divBdr>
    </w:div>
    <w:div w:id="1230648143">
      <w:bodyDiv w:val="1"/>
      <w:marLeft w:val="0"/>
      <w:marRight w:val="0"/>
      <w:marTop w:val="0"/>
      <w:marBottom w:val="0"/>
      <w:divBdr>
        <w:top w:val="none" w:sz="0" w:space="0" w:color="auto"/>
        <w:left w:val="none" w:sz="0" w:space="0" w:color="auto"/>
        <w:bottom w:val="none" w:sz="0" w:space="0" w:color="auto"/>
        <w:right w:val="none" w:sz="0" w:space="0" w:color="auto"/>
      </w:divBdr>
    </w:div>
    <w:div w:id="1517385384">
      <w:bodyDiv w:val="1"/>
      <w:marLeft w:val="0"/>
      <w:marRight w:val="0"/>
      <w:marTop w:val="0"/>
      <w:marBottom w:val="0"/>
      <w:divBdr>
        <w:top w:val="none" w:sz="0" w:space="0" w:color="auto"/>
        <w:left w:val="none" w:sz="0" w:space="0" w:color="auto"/>
        <w:bottom w:val="none" w:sz="0" w:space="0" w:color="auto"/>
        <w:right w:val="none" w:sz="0" w:space="0" w:color="auto"/>
      </w:divBdr>
    </w:div>
    <w:div w:id="18993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6980-EC44-4B6C-A6D7-D4CE9266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5501</Words>
  <Characters>30261</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CPAS</Company>
  <LinksUpToDate>false</LinksUpToDate>
  <CharactersWithSpaces>35691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Meurant Grégory</dc:creator>
  <cp:keywords/>
  <dc:description/>
  <cp:lastModifiedBy>Meurant Grégory</cp:lastModifiedBy>
  <cp:revision>58</cp:revision>
  <cp:lastPrinted>2022-02-16T10:55:00Z</cp:lastPrinted>
  <dcterms:created xsi:type="dcterms:W3CDTF">2022-03-02T14:17:00Z</dcterms:created>
  <dcterms:modified xsi:type="dcterms:W3CDTF">2022-03-07T12:28:00Z</dcterms:modified>
</cp:coreProperties>
</file>